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070"/>
        <w:rPr>
          <w:rFonts w:ascii="Times New Roman"/>
          <w:sz w:val="20"/>
        </w:rPr>
      </w:pPr>
      <w:r>
        <w:rPr>
          <w:rFonts w:ascii="Times New Roman"/>
          <w:sz w:val="20"/>
        </w:rPr>
        <w:drawing>
          <wp:inline distT="0" distB="0" distL="0" distR="0">
            <wp:extent cx="5867313" cy="3683889"/>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867313" cy="3683889"/>
                    </a:xfrm>
                    <a:prstGeom prst="rect">
                      <a:avLst/>
                    </a:prstGeom>
                  </pic:spPr>
                </pic:pic>
              </a:graphicData>
            </a:graphic>
          </wp:inline>
        </w:drawing>
      </w:r>
      <w:r>
        <w:rPr>
          <w:rFonts w:ascii="Times New Roman"/>
          <w:sz w:val="20"/>
        </w:rPr>
      </w:r>
    </w:p>
    <w:p>
      <w:pPr>
        <w:pStyle w:val="BodyText"/>
        <w:spacing w:before="28"/>
        <w:ind w:left="0"/>
        <w:rPr>
          <w:rFonts w:ascii="Times New Roman"/>
          <w:sz w:val="20"/>
        </w:rPr>
      </w:pP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1203325</wp:posOffset>
                </wp:positionH>
                <wp:positionV relativeFrom="paragraph">
                  <wp:posOffset>182245</wp:posOffset>
                </wp:positionV>
                <wp:extent cx="5364480" cy="270510"/>
                <wp:effectExtent l="0" t="0" r="0" b="0"/>
                <wp:wrapTopAndBottom/>
                <wp:docPr id="2" name="Textbox 2"/>
                <wp:cNvGraphicFramePr>
                  <a:graphicFrameLocks/>
                </wp:cNvGraphicFramePr>
                <a:graphic>
                  <a:graphicData uri="http://schemas.microsoft.com/office/word/2010/wordprocessingShape">
                    <wps:wsp>
                      <wps:cNvPr id="2" name="Textbox 2"/>
                      <wps:cNvSpPr txBox="1"/>
                      <wps:spPr>
                        <a:xfrm>
                          <a:off x="0" y="0"/>
                          <a:ext cx="5364480" cy="270510"/>
                        </a:xfrm>
                        <a:prstGeom prst="rect">
                          <a:avLst/>
                        </a:prstGeom>
                        <a:ln w="6350">
                          <a:solidFill>
                            <a:srgbClr val="000000"/>
                          </a:solidFill>
                          <a:prstDash val="solid"/>
                        </a:ln>
                      </wps:spPr>
                      <wps:txbx>
                        <w:txbxContent>
                          <w:p>
                            <w:pPr>
                              <w:spacing w:line="416" w:lineRule="exact" w:before="0"/>
                              <w:ind w:left="0" w:right="-15" w:firstLine="0"/>
                              <w:jc w:val="left"/>
                              <w:rPr>
                                <w:rFonts w:ascii="Microsoft JhengHei" w:eastAsia="Microsoft JhengHei"/>
                                <w:b/>
                                <w:sz w:val="32"/>
                              </w:rPr>
                            </w:pPr>
                            <w:r>
                              <w:rPr>
                                <w:rFonts w:ascii="Calibri" w:eastAsia="Calibri"/>
                                <w:b/>
                                <w:color w:val="001F5F"/>
                                <w:sz w:val="32"/>
                              </w:rPr>
                              <w:t>Autopot</w:t>
                            </w:r>
                            <w:r>
                              <w:rPr>
                                <w:rFonts w:ascii="Calibri" w:eastAsia="Calibri"/>
                                <w:b/>
                                <w:color w:val="001F5F"/>
                                <w:spacing w:val="-2"/>
                                <w:sz w:val="32"/>
                              </w:rPr>
                              <w:t> </w:t>
                            </w:r>
                            <w:r>
                              <w:rPr>
                                <w:rFonts w:ascii="Calibri" w:eastAsia="Calibri"/>
                                <w:b/>
                                <w:color w:val="001F5F"/>
                                <w:sz w:val="32"/>
                              </w:rPr>
                              <w:t>Systems</w:t>
                            </w:r>
                            <w:r>
                              <w:rPr>
                                <w:rFonts w:ascii="Calibri" w:eastAsia="Calibri"/>
                                <w:b/>
                                <w:color w:val="001F5F"/>
                                <w:spacing w:val="13"/>
                                <w:sz w:val="32"/>
                              </w:rPr>
                              <w:t> </w:t>
                            </w:r>
                            <w:r>
                              <w:rPr>
                                <w:rFonts w:ascii="Microsoft JhengHei" w:eastAsia="Microsoft JhengHei"/>
                                <w:b/>
                                <w:color w:val="001F5F"/>
                                <w:spacing w:val="-1"/>
                                <w:sz w:val="32"/>
                              </w:rPr>
                              <w:t>自主潮汐養液系統與餐飲旅館業之整合企劃</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4.75pt;margin-top:14.35pt;width:422.4pt;height:21.3pt;mso-position-horizontal-relative:page;mso-position-vertical-relative:paragraph;z-index:-15728640;mso-wrap-distance-left:0;mso-wrap-distance-right:0" type="#_x0000_t202" id="docshape1" filled="false" stroked="true" strokeweight=".5pt" strokecolor="#000000">
                <v:textbox inset="0,0,0,0">
                  <w:txbxContent>
                    <w:p>
                      <w:pPr>
                        <w:spacing w:line="416" w:lineRule="exact" w:before="0"/>
                        <w:ind w:left="0" w:right="-15" w:firstLine="0"/>
                        <w:jc w:val="left"/>
                        <w:rPr>
                          <w:rFonts w:ascii="Microsoft JhengHei" w:eastAsia="Microsoft JhengHei"/>
                          <w:b/>
                          <w:sz w:val="32"/>
                        </w:rPr>
                      </w:pPr>
                      <w:r>
                        <w:rPr>
                          <w:rFonts w:ascii="Calibri" w:eastAsia="Calibri"/>
                          <w:b/>
                          <w:color w:val="001F5F"/>
                          <w:sz w:val="32"/>
                        </w:rPr>
                        <w:t>Autopot</w:t>
                      </w:r>
                      <w:r>
                        <w:rPr>
                          <w:rFonts w:ascii="Calibri" w:eastAsia="Calibri"/>
                          <w:b/>
                          <w:color w:val="001F5F"/>
                          <w:spacing w:val="-2"/>
                          <w:sz w:val="32"/>
                        </w:rPr>
                        <w:t> </w:t>
                      </w:r>
                      <w:r>
                        <w:rPr>
                          <w:rFonts w:ascii="Calibri" w:eastAsia="Calibri"/>
                          <w:b/>
                          <w:color w:val="001F5F"/>
                          <w:sz w:val="32"/>
                        </w:rPr>
                        <w:t>Systems</w:t>
                      </w:r>
                      <w:r>
                        <w:rPr>
                          <w:rFonts w:ascii="Calibri" w:eastAsia="Calibri"/>
                          <w:b/>
                          <w:color w:val="001F5F"/>
                          <w:spacing w:val="13"/>
                          <w:sz w:val="32"/>
                        </w:rPr>
                        <w:t> </w:t>
                      </w:r>
                      <w:r>
                        <w:rPr>
                          <w:rFonts w:ascii="Microsoft JhengHei" w:eastAsia="Microsoft JhengHei"/>
                          <w:b/>
                          <w:color w:val="001F5F"/>
                          <w:spacing w:val="-1"/>
                          <w:sz w:val="32"/>
                        </w:rPr>
                        <w:t>自主潮汐養液系統與餐飲旅館業之整合企劃</w:t>
                      </w:r>
                    </w:p>
                  </w:txbxContent>
                </v:textbox>
                <v:stroke dashstyle="solid"/>
                <w10:wrap type="topAndBottom"/>
              </v:shape>
            </w:pict>
          </mc:Fallback>
        </mc:AlternateContent>
      </w:r>
    </w:p>
    <w:p>
      <w:pPr>
        <w:spacing w:before="125"/>
        <w:ind w:left="7014" w:right="0" w:firstLine="0"/>
        <w:jc w:val="left"/>
        <w:rPr>
          <w:rFonts w:ascii="Microsoft JhengHei" w:eastAsia="Microsoft JhengHei"/>
          <w:b/>
          <w:sz w:val="20"/>
        </w:rPr>
      </w:pPr>
      <w:r>
        <w:rPr>
          <w:rFonts w:ascii="Microsoft JhengHei" w:eastAsia="Microsoft JhengHei"/>
          <w:b/>
          <w:spacing w:val="2"/>
          <w:sz w:val="20"/>
        </w:rPr>
        <w:t>星芝國際 技術執行長 蔡尚光</w:t>
      </w:r>
    </w:p>
    <w:p>
      <w:pPr>
        <w:pStyle w:val="BodyText"/>
        <w:spacing w:before="109"/>
        <w:ind w:left="0"/>
        <w:rPr>
          <w:rFonts w:ascii="Microsoft JhengHei"/>
          <w:b/>
        </w:rPr>
      </w:pPr>
    </w:p>
    <w:p>
      <w:pPr>
        <w:pStyle w:val="Heading1"/>
        <w:numPr>
          <w:ilvl w:val="0"/>
          <w:numId w:val="1"/>
        </w:numPr>
        <w:tabs>
          <w:tab w:pos="1601" w:val="left" w:leader="none"/>
        </w:tabs>
        <w:spacing w:line="240" w:lineRule="auto" w:before="0" w:after="0"/>
        <w:ind w:left="1601" w:right="0" w:hanging="161"/>
        <w:jc w:val="both"/>
      </w:pPr>
      <w:r>
        <w:rPr>
          <w:color w:val="000000"/>
          <w:spacing w:val="-3"/>
          <w:shd w:fill="D9D9D9" w:color="auto" w:val="clear"/>
        </w:rPr>
        <w:t>項目概述</w:t>
      </w:r>
    </w:p>
    <w:p>
      <w:pPr>
        <w:pStyle w:val="BodyText"/>
        <w:spacing w:before="183"/>
        <w:ind w:left="0"/>
        <w:rPr>
          <w:rFonts w:ascii="Microsoft JhengHei"/>
          <w:b/>
        </w:rPr>
      </w:pPr>
    </w:p>
    <w:p>
      <w:pPr>
        <w:pStyle w:val="BodyText"/>
        <w:spacing w:line="261" w:lineRule="auto"/>
        <w:ind w:right="1893" w:hanging="1"/>
        <w:jc w:val="both"/>
      </w:pPr>
      <w:r>
        <w:rPr/>
        <w:t>本計畫旨在將 </w:t>
      </w:r>
      <w:r>
        <w:rPr>
          <w:rFonts w:ascii="Calibri" w:eastAsia="Calibri"/>
        </w:rPr>
        <w:t>Autopot Systems</w:t>
      </w:r>
      <w:r>
        <w:rPr>
          <w:rFonts w:ascii="Calibri" w:eastAsia="Calibri"/>
          <w:spacing w:val="40"/>
        </w:rPr>
        <w:t> </w:t>
      </w:r>
      <w:r>
        <w:rPr/>
        <w:t>自主潮汐養液栽培系統創新融入餐飲旅館業的日常營運</w:t>
      </w:r>
      <w:r>
        <w:rPr/>
        <w:t> </w:t>
      </w:r>
      <w:r>
        <w:rPr>
          <w:spacing w:val="-2"/>
        </w:rPr>
        <w:t>中，打造一個兼俱生產效率、永續發展和顧客吸引力的綠色商業模式。 </w:t>
      </w:r>
      <w:r>
        <w:rPr>
          <w:rFonts w:ascii="Calibri" w:eastAsia="Calibri"/>
        </w:rPr>
        <w:t>Autopot</w:t>
      </w:r>
      <w:r>
        <w:rPr>
          <w:rFonts w:ascii="Calibri" w:eastAsia="Calibri"/>
          <w:spacing w:val="3"/>
        </w:rPr>
        <w:t> </w:t>
      </w:r>
      <w:r>
        <w:rPr>
          <w:spacing w:val="-3"/>
        </w:rPr>
        <w:t>系統是一</w:t>
      </w:r>
    </w:p>
    <w:p>
      <w:pPr>
        <w:pStyle w:val="BodyText"/>
        <w:spacing w:line="261" w:lineRule="auto" w:before="4"/>
        <w:ind w:right="1857"/>
        <w:jc w:val="both"/>
      </w:pPr>
      <w:r>
        <w:rPr>
          <w:spacing w:val="-2"/>
        </w:rPr>
        <w:t>種基於重力自體驅動的現代化養液栽培架構，無需電力、水泵或定時器即可實現植物的自主灌溉。透過將此系統整合到餐飲旅館業，我們不僅能夠為客人提供最新鮮、安全、零碳公里運輸的食材，還能顯著提升企業的環境形象和社會責任價值。</w:t>
      </w:r>
    </w:p>
    <w:p>
      <w:pPr>
        <w:pStyle w:val="BodyText"/>
        <w:spacing w:before="11"/>
        <w:ind w:left="0"/>
        <w:rPr>
          <w:sz w:val="9"/>
        </w:rPr>
      </w:pPr>
      <w:r>
        <w:rPr>
          <w:sz w:val="9"/>
        </w:rPr>
        <w:drawing>
          <wp:anchor distT="0" distB="0" distL="0" distR="0" allowOverlap="1" layoutInCell="1" locked="0" behindDoc="1" simplePos="0" relativeHeight="487588352">
            <wp:simplePos x="0" y="0"/>
            <wp:positionH relativeFrom="page">
              <wp:posOffset>1245870</wp:posOffset>
            </wp:positionH>
            <wp:positionV relativeFrom="paragraph">
              <wp:posOffset>95469</wp:posOffset>
            </wp:positionV>
            <wp:extent cx="2544825" cy="1908619"/>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2544825" cy="1908619"/>
                    </a:xfrm>
                    <a:prstGeom prst="rect">
                      <a:avLst/>
                    </a:prstGeom>
                  </pic:spPr>
                </pic:pic>
              </a:graphicData>
            </a:graphic>
          </wp:anchor>
        </w:drawing>
      </w:r>
      <w:r>
        <w:rPr>
          <w:sz w:val="9"/>
        </w:rPr>
        <w:drawing>
          <wp:anchor distT="0" distB="0" distL="0" distR="0" allowOverlap="1" layoutInCell="1" locked="0" behindDoc="1" simplePos="0" relativeHeight="487588864">
            <wp:simplePos x="0" y="0"/>
            <wp:positionH relativeFrom="page">
              <wp:posOffset>3972559</wp:posOffset>
            </wp:positionH>
            <wp:positionV relativeFrom="paragraph">
              <wp:posOffset>95469</wp:posOffset>
            </wp:positionV>
            <wp:extent cx="2559951" cy="1920906"/>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2559951" cy="1920906"/>
                    </a:xfrm>
                    <a:prstGeom prst="rect">
                      <a:avLst/>
                    </a:prstGeom>
                  </pic:spPr>
                </pic:pic>
              </a:graphicData>
            </a:graphic>
          </wp:anchor>
        </w:drawing>
      </w:r>
    </w:p>
    <w:p>
      <w:pPr>
        <w:pStyle w:val="BodyText"/>
        <w:spacing w:after="0"/>
        <w:rPr>
          <w:sz w:val="9"/>
        </w:rPr>
        <w:sectPr>
          <w:type w:val="continuous"/>
          <w:pgSz w:w="12240" w:h="15840"/>
          <w:pgMar w:top="1440" w:bottom="280" w:left="360" w:right="0"/>
        </w:sectPr>
      </w:pPr>
    </w:p>
    <w:p>
      <w:pPr>
        <w:pStyle w:val="BodyText"/>
        <w:spacing w:before="28"/>
      </w:pPr>
      <w:r>
        <w:rPr>
          <w:spacing w:val="-2"/>
        </w:rPr>
        <w:t>專案背景與核心概念</w:t>
      </w:r>
    </w:p>
    <w:p>
      <w:pPr>
        <w:pStyle w:val="BodyText"/>
        <w:spacing w:line="264" w:lineRule="auto" w:before="186"/>
        <w:ind w:left="1439" w:right="1810"/>
      </w:pPr>
      <w:r>
        <w:rPr>
          <w:spacing w:val="-2"/>
        </w:rPr>
        <w:t>在全球面臨糧食安全和農業永續性挑戰的背景下，垂直農業和城市農業作為解決方案正獲得越來越多關注。同時，餐飲旅宿業的消費者也越來越重視食物的來源、安全性和碳足</w:t>
      </w:r>
      <w:r>
        <w:rPr>
          <w:spacing w:val="80"/>
        </w:rPr>
        <w:t> </w:t>
      </w:r>
      <w:r>
        <w:rPr>
          <w:spacing w:val="-21"/>
        </w:rPr>
        <w:t>跡。 </w:t>
      </w:r>
      <w:r>
        <w:rPr>
          <w:rFonts w:ascii="Calibri" w:eastAsia="Calibri"/>
        </w:rPr>
        <w:t>Autopot</w:t>
      </w:r>
      <w:r>
        <w:rPr>
          <w:rFonts w:ascii="Calibri" w:eastAsia="Calibri"/>
          <w:spacing w:val="-13"/>
        </w:rPr>
        <w:t> </w:t>
      </w:r>
      <w:r>
        <w:rPr>
          <w:spacing w:val="-3"/>
        </w:rPr>
        <w:t>系統以其獨特的重力灌溉設計，透過專利的 </w:t>
      </w:r>
      <w:r>
        <w:rPr>
          <w:rFonts w:ascii="Calibri" w:eastAsia="Calibri"/>
        </w:rPr>
        <w:t>Smart</w:t>
      </w:r>
      <w:r>
        <w:rPr>
          <w:rFonts w:ascii="Calibri" w:eastAsia="Calibri"/>
          <w:spacing w:val="-10"/>
        </w:rPr>
        <w:t> </w:t>
      </w:r>
      <w:r>
        <w:rPr>
          <w:rFonts w:ascii="Calibri" w:eastAsia="Calibri"/>
        </w:rPr>
        <w:t>Valve </w:t>
      </w:r>
      <w:r>
        <w:rPr/>
        <w:t>技術，使植物根據自</w:t>
      </w:r>
      <w:r>
        <w:rPr>
          <w:spacing w:val="-2"/>
        </w:rPr>
        <w:t>身需求獲取水分和養分，實現真正的</w:t>
      </w:r>
      <w:r>
        <w:rPr>
          <w:rFonts w:ascii="Calibri" w:eastAsia="Calibri"/>
          <w:spacing w:val="-2"/>
        </w:rPr>
        <w:t>"</w:t>
      </w:r>
      <w:r>
        <w:rPr>
          <w:spacing w:val="-2"/>
        </w:rPr>
        <w:t>植物主導</w:t>
      </w:r>
      <w:r>
        <w:rPr>
          <w:rFonts w:ascii="Calibri" w:eastAsia="Calibri"/>
          <w:spacing w:val="-2"/>
        </w:rPr>
        <w:t>"</w:t>
      </w:r>
      <w:r>
        <w:rPr>
          <w:spacing w:val="-2"/>
        </w:rPr>
        <w:t>給液模式。這種系統不僅適用於小規模家庭種植，也可擴展至大規模專業商業應用，為我們與餐飲旅宿業的結合提供了靈活多樣的</w:t>
      </w:r>
      <w:r>
        <w:rPr>
          <w:spacing w:val="-4"/>
        </w:rPr>
        <w:t>可能性。</w:t>
      </w:r>
    </w:p>
    <w:p>
      <w:pPr>
        <w:pStyle w:val="BodyText"/>
        <w:ind w:left="0"/>
      </w:pPr>
    </w:p>
    <w:p>
      <w:pPr>
        <w:pStyle w:val="BodyText"/>
        <w:spacing w:before="39"/>
        <w:ind w:left="0"/>
      </w:pPr>
    </w:p>
    <w:p>
      <w:pPr>
        <w:pStyle w:val="BodyText"/>
        <w:spacing w:before="1"/>
        <w:ind w:left="1439"/>
      </w:pPr>
      <w:r>
        <w:rPr>
          <w:spacing w:val="-2"/>
        </w:rPr>
        <w:t>專案核心優勢</w:t>
      </w:r>
    </w:p>
    <w:p>
      <w:pPr>
        <w:pStyle w:val="ListParagraph"/>
        <w:numPr>
          <w:ilvl w:val="0"/>
          <w:numId w:val="2"/>
        </w:numPr>
        <w:tabs>
          <w:tab w:pos="1534" w:val="left" w:leader="none"/>
        </w:tabs>
        <w:spacing w:line="264" w:lineRule="auto" w:before="186" w:after="0"/>
        <w:ind w:left="1439" w:right="1982" w:firstLine="0"/>
        <w:jc w:val="left"/>
        <w:rPr>
          <w:sz w:val="22"/>
        </w:rPr>
      </w:pPr>
      <w:r>
        <w:rPr>
          <w:spacing w:val="-2"/>
          <w:sz w:val="22"/>
        </w:rPr>
        <w:t>能源效率：系統可完全依靠重力或極低能源方式運行，無需大容量養液水槽，顯著降低運營與搭設成本，與傳統舊型循環水耕或滴灌系統相比，可節省高達 </w:t>
      </w:r>
      <w:r>
        <w:rPr>
          <w:rFonts w:ascii="Calibri" w:hAnsi="Calibri" w:eastAsia="Calibri"/>
          <w:sz w:val="22"/>
        </w:rPr>
        <w:t>80%</w:t>
      </w:r>
      <w:r>
        <w:rPr>
          <w:sz w:val="22"/>
        </w:rPr>
        <w:t>以上的水和養</w:t>
      </w:r>
      <w:r>
        <w:rPr>
          <w:spacing w:val="-6"/>
          <w:sz w:val="22"/>
        </w:rPr>
        <w:t>分。</w:t>
      </w:r>
    </w:p>
    <w:p>
      <w:pPr>
        <w:pStyle w:val="ListParagraph"/>
        <w:numPr>
          <w:ilvl w:val="0"/>
          <w:numId w:val="2"/>
        </w:numPr>
        <w:tabs>
          <w:tab w:pos="1534" w:val="left" w:leader="none"/>
        </w:tabs>
        <w:spacing w:line="240" w:lineRule="auto" w:before="157" w:after="0"/>
        <w:ind w:left="1534" w:right="0" w:hanging="95"/>
        <w:jc w:val="left"/>
        <w:rPr>
          <w:sz w:val="22"/>
        </w:rPr>
      </w:pPr>
      <w:r>
        <w:rPr>
          <w:spacing w:val="-1"/>
          <w:sz w:val="22"/>
        </w:rPr>
        <w:t>操作簡單：系統可自動運作數週無需人工干預，大幅減少了勞力需求。</w:t>
      </w:r>
    </w:p>
    <w:p>
      <w:pPr>
        <w:pStyle w:val="ListParagraph"/>
        <w:numPr>
          <w:ilvl w:val="0"/>
          <w:numId w:val="2"/>
        </w:numPr>
        <w:tabs>
          <w:tab w:pos="1534" w:val="left" w:leader="none"/>
        </w:tabs>
        <w:spacing w:line="264" w:lineRule="auto" w:before="186" w:after="0"/>
        <w:ind w:left="1439" w:right="1982" w:firstLine="0"/>
        <w:jc w:val="left"/>
        <w:rPr>
          <w:sz w:val="22"/>
        </w:rPr>
      </w:pPr>
      <w:r>
        <w:rPr>
          <w:spacing w:val="-2"/>
          <w:sz w:val="22"/>
        </w:rPr>
        <w:t>空間靈活性：可靈活部署於設施溫室、飯店屋頂、餐廳廚房、閒置客房或公共區域，充分利用未使用的空間。</w:t>
      </w:r>
    </w:p>
    <w:p>
      <w:pPr>
        <w:pStyle w:val="ListParagraph"/>
        <w:numPr>
          <w:ilvl w:val="0"/>
          <w:numId w:val="2"/>
        </w:numPr>
        <w:tabs>
          <w:tab w:pos="1534" w:val="left" w:leader="none"/>
        </w:tabs>
        <w:spacing w:line="261" w:lineRule="auto" w:before="158" w:after="0"/>
        <w:ind w:left="1439" w:right="1982" w:firstLine="0"/>
        <w:jc w:val="left"/>
        <w:rPr>
          <w:sz w:val="22"/>
        </w:rPr>
      </w:pPr>
      <w:r>
        <w:rPr>
          <w:spacing w:val="-2"/>
          <w:sz w:val="22"/>
        </w:rPr>
        <w:t>永續性：零徑流、零浪費的封閉循環系統，無廢液排放的處理困擾，進而減少食物運輸碳足跡，並契合當代環保價值觀。</w:t>
      </w:r>
    </w:p>
    <w:p>
      <w:pPr>
        <w:pStyle w:val="BodyText"/>
        <w:spacing w:before="3"/>
        <w:ind w:left="0"/>
        <w:rPr>
          <w:sz w:val="9"/>
        </w:rPr>
      </w:pPr>
      <w:r>
        <w:rPr>
          <w:sz w:val="9"/>
        </w:rPr>
        <w:drawing>
          <wp:anchor distT="0" distB="0" distL="0" distR="0" allowOverlap="1" layoutInCell="1" locked="0" behindDoc="1" simplePos="0" relativeHeight="487589376">
            <wp:simplePos x="0" y="0"/>
            <wp:positionH relativeFrom="page">
              <wp:posOffset>1017269</wp:posOffset>
            </wp:positionH>
            <wp:positionV relativeFrom="paragraph">
              <wp:posOffset>90456</wp:posOffset>
            </wp:positionV>
            <wp:extent cx="2756789" cy="2067591"/>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2756789" cy="2067591"/>
                    </a:xfrm>
                    <a:prstGeom prst="rect">
                      <a:avLst/>
                    </a:prstGeom>
                  </pic:spPr>
                </pic:pic>
              </a:graphicData>
            </a:graphic>
          </wp:anchor>
        </w:drawing>
      </w:r>
      <w:r>
        <w:rPr>
          <w:sz w:val="9"/>
        </w:rPr>
        <w:drawing>
          <wp:anchor distT="0" distB="0" distL="0" distR="0" allowOverlap="1" layoutInCell="1" locked="0" behindDoc="1" simplePos="0" relativeHeight="487589888">
            <wp:simplePos x="0" y="0"/>
            <wp:positionH relativeFrom="page">
              <wp:posOffset>3926840</wp:posOffset>
            </wp:positionH>
            <wp:positionV relativeFrom="paragraph">
              <wp:posOffset>90455</wp:posOffset>
            </wp:positionV>
            <wp:extent cx="2793999" cy="209550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2793999" cy="2095500"/>
                    </a:xfrm>
                    <a:prstGeom prst="rect">
                      <a:avLst/>
                    </a:prstGeom>
                  </pic:spPr>
                </pic:pic>
              </a:graphicData>
            </a:graphic>
          </wp:anchor>
        </w:drawing>
      </w:r>
    </w:p>
    <w:p>
      <w:pPr>
        <w:pStyle w:val="BodyText"/>
        <w:spacing w:before="37"/>
        <w:ind w:left="0"/>
      </w:pPr>
    </w:p>
    <w:p>
      <w:pPr>
        <w:pStyle w:val="BodyText"/>
        <w:ind w:left="1439"/>
      </w:pPr>
      <w:r>
        <w:rPr>
          <w:spacing w:val="-2"/>
        </w:rPr>
        <w:t>專案願景與目標</w:t>
      </w:r>
    </w:p>
    <w:p>
      <w:pPr>
        <w:pStyle w:val="BodyText"/>
        <w:spacing w:line="264" w:lineRule="auto" w:before="188"/>
        <w:ind w:left="1439" w:right="1858"/>
        <w:jc w:val="both"/>
      </w:pPr>
      <w:r>
        <w:rPr>
          <w:spacing w:val="-2"/>
        </w:rPr>
        <w:t>我們的願景是重新定義餐飲旅宿業的食材供應鏈，將消費者與食物來源重新連接，同時創造獨特的客戶食農體驗和永續的商業模式。短期目標是在客戶中建立</w:t>
      </w:r>
      <w:r>
        <w:rPr>
          <w:rFonts w:ascii="Calibri" w:eastAsia="Calibri"/>
          <w:spacing w:val="-2"/>
        </w:rPr>
        <w:t>"</w:t>
      </w:r>
      <w:r>
        <w:rPr>
          <w:spacing w:val="-2"/>
        </w:rPr>
        <w:t>從農場到餐桌</w:t>
      </w:r>
      <w:r>
        <w:rPr>
          <w:rFonts w:ascii="Calibri" w:eastAsia="Calibri"/>
          <w:spacing w:val="-2"/>
        </w:rPr>
        <w:t>"</w:t>
      </w:r>
      <w:r>
        <w:rPr>
          <w:spacing w:val="-2"/>
        </w:rPr>
        <w:t>的高端綠色品牌形象；中期目標是實現營運成本的顯著降低和客戶滿意度的提升；長期目標則是打造可複製的連鎖商業模式，推廣至全國乃至國際餐飲旅宿市場。</w:t>
      </w:r>
    </w:p>
    <w:p>
      <w:pPr>
        <w:pStyle w:val="BodyText"/>
        <w:spacing w:after="0" w:line="264" w:lineRule="auto"/>
        <w:jc w:val="both"/>
        <w:sectPr>
          <w:pgSz w:w="12240" w:h="15840"/>
          <w:pgMar w:top="1400" w:bottom="280" w:left="360" w:right="0"/>
        </w:sectPr>
      </w:pPr>
    </w:p>
    <w:p>
      <w:pPr>
        <w:pStyle w:val="Heading1"/>
        <w:numPr>
          <w:ilvl w:val="0"/>
          <w:numId w:val="1"/>
        </w:numPr>
        <w:tabs>
          <w:tab w:pos="1601" w:val="left" w:leader="none"/>
        </w:tabs>
        <w:spacing w:line="360" w:lineRule="exact" w:before="0" w:after="0"/>
        <w:ind w:left="1601" w:right="0" w:hanging="161"/>
        <w:jc w:val="left"/>
      </w:pPr>
      <w:r>
        <w:rPr>
          <w:color w:val="000000"/>
          <w:spacing w:val="-3"/>
          <w:shd w:fill="D9D9D9" w:color="auto" w:val="clear"/>
        </w:rPr>
        <w:t>市場分析</w:t>
      </w:r>
    </w:p>
    <w:p>
      <w:pPr>
        <w:pStyle w:val="BodyText"/>
        <w:spacing w:before="181"/>
        <w:ind w:left="0"/>
        <w:rPr>
          <w:rFonts w:ascii="Microsoft JhengHei"/>
          <w:b/>
        </w:rPr>
      </w:pPr>
    </w:p>
    <w:p>
      <w:pPr>
        <w:pStyle w:val="BodyText"/>
        <w:ind w:left="1439"/>
      </w:pPr>
      <w:r>
        <w:rPr>
          <w:spacing w:val="-2"/>
        </w:rPr>
        <w:t>市場趨勢與機遇</w:t>
      </w:r>
    </w:p>
    <w:p>
      <w:pPr>
        <w:pStyle w:val="BodyText"/>
        <w:spacing w:before="188"/>
        <w:ind w:left="1439"/>
      </w:pPr>
      <w:r>
        <w:rPr>
          <w:spacing w:val="-2"/>
        </w:rPr>
        <w:t>當前全球農業與食品產業正面臨深刻變革，垂直農業市場預計在 </w:t>
      </w:r>
      <w:r>
        <w:rPr>
          <w:rFonts w:ascii="Calibri" w:eastAsia="Calibri"/>
        </w:rPr>
        <w:t>2025</w:t>
      </w:r>
      <w:r>
        <w:rPr>
          <w:rFonts w:ascii="Calibri" w:eastAsia="Calibri"/>
          <w:spacing w:val="3"/>
        </w:rPr>
        <w:t> </w:t>
      </w:r>
      <w:r>
        <w:rPr>
          <w:spacing w:val="-19"/>
        </w:rPr>
        <w:t>年至 </w:t>
      </w:r>
      <w:r>
        <w:rPr>
          <w:rFonts w:ascii="Calibri" w:eastAsia="Calibri"/>
        </w:rPr>
        <w:t>2032</w:t>
      </w:r>
      <w:r>
        <w:rPr>
          <w:rFonts w:ascii="Calibri" w:eastAsia="Calibri"/>
          <w:spacing w:val="7"/>
        </w:rPr>
        <w:t> </w:t>
      </w:r>
      <w:r>
        <w:rPr>
          <w:spacing w:val="-3"/>
        </w:rPr>
        <w:t>年期間將</w:t>
      </w:r>
    </w:p>
    <w:p>
      <w:pPr>
        <w:pStyle w:val="BodyText"/>
        <w:spacing w:before="26"/>
        <w:ind w:left="1439"/>
      </w:pPr>
      <w:r>
        <w:rPr>
          <w:spacing w:val="-28"/>
        </w:rPr>
        <w:t>以 </w:t>
      </w:r>
      <w:r>
        <w:rPr>
          <w:rFonts w:ascii="Calibri" w:eastAsia="Calibri"/>
        </w:rPr>
        <w:t>26.5%</w:t>
      </w:r>
      <w:r>
        <w:rPr>
          <w:spacing w:val="-3"/>
        </w:rPr>
        <w:t>的年複合成長率成長，市場規模預計將從 </w:t>
      </w:r>
      <w:r>
        <w:rPr>
          <w:rFonts w:ascii="Calibri" w:eastAsia="Calibri"/>
        </w:rPr>
        <w:t>2025 </w:t>
      </w:r>
      <w:r>
        <w:rPr>
          <w:spacing w:val="-19"/>
        </w:rPr>
        <w:t>年的 </w:t>
      </w:r>
      <w:r>
        <w:rPr>
          <w:rFonts w:ascii="Calibri" w:eastAsia="Calibri"/>
        </w:rPr>
        <w:t>123</w:t>
      </w:r>
      <w:r>
        <w:rPr>
          <w:rFonts w:ascii="Calibri" w:eastAsia="Calibri"/>
          <w:spacing w:val="7"/>
        </w:rPr>
        <w:t> </w:t>
      </w:r>
      <w:r>
        <w:rPr>
          <w:spacing w:val="-9"/>
        </w:rPr>
        <w:t>億美元成長至 </w:t>
      </w:r>
      <w:r>
        <w:rPr>
          <w:rFonts w:ascii="Calibri" w:eastAsia="Calibri"/>
        </w:rPr>
        <w:t>2032</w:t>
      </w:r>
      <w:r>
        <w:rPr>
          <w:rFonts w:ascii="Calibri" w:eastAsia="Calibri"/>
          <w:spacing w:val="7"/>
        </w:rPr>
        <w:t> </w:t>
      </w:r>
      <w:r>
        <w:rPr>
          <w:spacing w:val="-5"/>
        </w:rPr>
        <w:t>年的</w:t>
      </w:r>
    </w:p>
    <w:p>
      <w:pPr>
        <w:pStyle w:val="BodyText"/>
        <w:spacing w:line="264" w:lineRule="auto" w:before="28"/>
        <w:ind w:left="1439" w:right="1858"/>
      </w:pPr>
      <w:r>
        <w:rPr>
          <w:rFonts w:ascii="Calibri" w:eastAsia="Calibri"/>
        </w:rPr>
        <w:t>647 </w:t>
      </w:r>
      <w:r>
        <w:rPr/>
        <w:t>億美元。這項成長主要由多種因素驅動：城市人口對新鮮本地食品的需求不斷增加，</w:t>
      </w:r>
      <w:r>
        <w:rPr>
          <w:spacing w:val="-2"/>
        </w:rPr>
        <w:t>可耕地面積減少，以及氣候變遷對傳統農業造成的壓力，加上休閒樂活的生活嚮往。在此</w:t>
      </w:r>
      <w:r>
        <w:rPr>
          <w:spacing w:val="-2"/>
        </w:rPr>
        <w:t>背景下，餐飲旅宿業對在地化、永續食材的需求顯著上升，越來越多的消費者願意為環</w:t>
      </w:r>
      <w:r>
        <w:rPr>
          <w:spacing w:val="40"/>
        </w:rPr>
        <w:t> </w:t>
      </w:r>
      <w:r>
        <w:rPr>
          <w:spacing w:val="-2"/>
        </w:rPr>
        <w:t>保、安全、可追溯的食品支付溢價。</w:t>
      </w:r>
    </w:p>
    <w:p>
      <w:pPr>
        <w:pStyle w:val="BodyText"/>
        <w:spacing w:line="264" w:lineRule="auto" w:before="156"/>
        <w:ind w:left="1439" w:right="1858"/>
        <w:jc w:val="both"/>
      </w:pPr>
      <w:r>
        <w:rPr>
          <w:spacing w:val="-2"/>
        </w:rPr>
        <w:t>同時，高級餐廳和飯店不斷尋求差異化競爭要素，將食材的新鮮度和來源故事作為提升用餐體驗和增加價值感的重要手段。研究表明，在飯店和餐廳環境中融入綠色元素和農業體</w:t>
      </w:r>
      <w:r>
        <w:rPr>
          <w:spacing w:val="-1"/>
        </w:rPr>
        <w:t>驗，可以顯著提升顧客滿意度和支付意願。這些趨勢為我們將 </w:t>
      </w:r>
      <w:r>
        <w:rPr>
          <w:rFonts w:ascii="Calibri" w:eastAsia="Calibri"/>
        </w:rPr>
        <w:t>Autopot</w:t>
      </w:r>
      <w:r>
        <w:rPr>
          <w:rFonts w:ascii="Calibri" w:eastAsia="Calibri"/>
          <w:spacing w:val="-12"/>
        </w:rPr>
        <w:t> </w:t>
      </w:r>
      <w:r>
        <w:rPr/>
        <w:t>系統引入餐飲旅宿</w:t>
      </w:r>
      <w:r>
        <w:rPr>
          <w:spacing w:val="-2"/>
        </w:rPr>
        <w:t>業創造了絕佳的市場機會。</w:t>
      </w:r>
    </w:p>
    <w:p>
      <w:pPr>
        <w:pStyle w:val="BodyText"/>
        <w:spacing w:before="7"/>
        <w:ind w:left="0"/>
        <w:rPr>
          <w:sz w:val="8"/>
        </w:rPr>
      </w:pPr>
      <w:r>
        <w:rPr>
          <w:sz w:val="8"/>
        </w:rPr>
        <w:drawing>
          <wp:anchor distT="0" distB="0" distL="0" distR="0" allowOverlap="1" layoutInCell="1" locked="0" behindDoc="1" simplePos="0" relativeHeight="487590400">
            <wp:simplePos x="0" y="0"/>
            <wp:positionH relativeFrom="page">
              <wp:posOffset>1017269</wp:posOffset>
            </wp:positionH>
            <wp:positionV relativeFrom="paragraph">
              <wp:posOffset>85338</wp:posOffset>
            </wp:positionV>
            <wp:extent cx="2853549" cy="1965579"/>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2853549" cy="1965579"/>
                    </a:xfrm>
                    <a:prstGeom prst="rect">
                      <a:avLst/>
                    </a:prstGeom>
                  </pic:spPr>
                </pic:pic>
              </a:graphicData>
            </a:graphic>
          </wp:anchor>
        </w:drawing>
      </w:r>
      <w:r>
        <w:rPr>
          <w:sz w:val="8"/>
        </w:rPr>
        <w:drawing>
          <wp:anchor distT="0" distB="0" distL="0" distR="0" allowOverlap="1" layoutInCell="1" locked="0" behindDoc="1" simplePos="0" relativeHeight="487590912">
            <wp:simplePos x="0" y="0"/>
            <wp:positionH relativeFrom="page">
              <wp:posOffset>3931920</wp:posOffset>
            </wp:positionH>
            <wp:positionV relativeFrom="paragraph">
              <wp:posOffset>85338</wp:posOffset>
            </wp:positionV>
            <wp:extent cx="2931712" cy="1965578"/>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2931712" cy="1965578"/>
                    </a:xfrm>
                    <a:prstGeom prst="rect">
                      <a:avLst/>
                    </a:prstGeom>
                  </pic:spPr>
                </pic:pic>
              </a:graphicData>
            </a:graphic>
          </wp:anchor>
        </w:drawing>
      </w:r>
    </w:p>
    <w:p>
      <w:pPr>
        <w:pStyle w:val="BodyText"/>
        <w:spacing w:before="241"/>
        <w:ind w:left="0"/>
      </w:pPr>
    </w:p>
    <w:p>
      <w:pPr>
        <w:pStyle w:val="BodyText"/>
        <w:ind w:left="1439"/>
      </w:pPr>
      <w:r>
        <w:rPr>
          <w:spacing w:val="-2"/>
        </w:rPr>
        <w:t>目標與需求分析</w:t>
      </w:r>
    </w:p>
    <w:p>
      <w:pPr>
        <w:pStyle w:val="BodyText"/>
        <w:spacing w:before="186"/>
        <w:ind w:left="1439"/>
      </w:pPr>
      <w:r>
        <w:rPr>
          <w:spacing w:val="-1"/>
        </w:rPr>
        <w:t>本企劃案的目標客戶主要包括以下三類：</w:t>
      </w:r>
    </w:p>
    <w:p>
      <w:pPr>
        <w:pStyle w:val="ListParagraph"/>
        <w:numPr>
          <w:ilvl w:val="0"/>
          <w:numId w:val="2"/>
        </w:numPr>
        <w:tabs>
          <w:tab w:pos="1534" w:val="left" w:leader="none"/>
        </w:tabs>
        <w:spacing w:line="264" w:lineRule="auto" w:before="187" w:after="0"/>
        <w:ind w:left="1439" w:right="1942" w:firstLine="0"/>
        <w:jc w:val="both"/>
        <w:rPr>
          <w:sz w:val="22"/>
        </w:rPr>
      </w:pPr>
      <w:r>
        <w:rPr>
          <w:spacing w:val="-2"/>
          <w:sz w:val="22"/>
        </w:rPr>
        <w:t>高級酒店與渡假村：這類顧客專注於提升服務品質與獨特顧客體驗，需要全年穩定供應</w:t>
      </w:r>
      <w:r>
        <w:rPr>
          <w:sz w:val="22"/>
        </w:rPr>
        <w:t>的新鮮香草、微型蔬菜和食用花卉，用於餐飲服務與客房裝潢。對他們而言，</w:t>
      </w:r>
      <w:r>
        <w:rPr>
          <w:rFonts w:ascii="Calibri" w:hAnsi="Calibri" w:eastAsia="Calibri"/>
          <w:sz w:val="22"/>
        </w:rPr>
        <w:t>Autopot</w:t>
      </w:r>
      <w:r>
        <w:rPr>
          <w:rFonts w:ascii="Calibri" w:hAnsi="Calibri" w:eastAsia="Calibri"/>
          <w:spacing w:val="-13"/>
          <w:sz w:val="22"/>
        </w:rPr>
        <w:t> </w:t>
      </w:r>
      <w:r>
        <w:rPr>
          <w:sz w:val="22"/>
        </w:rPr>
        <w:t>系</w:t>
      </w:r>
      <w:r>
        <w:rPr>
          <w:spacing w:val="-2"/>
          <w:sz w:val="22"/>
        </w:rPr>
        <w:t>統不僅能提供穩定的食材供應，還能創造獨特的綠色環境，提升整體住宿體驗。</w:t>
      </w:r>
    </w:p>
    <w:p>
      <w:pPr>
        <w:pStyle w:val="ListParagraph"/>
        <w:numPr>
          <w:ilvl w:val="0"/>
          <w:numId w:val="2"/>
        </w:numPr>
        <w:tabs>
          <w:tab w:pos="1534" w:val="left" w:leader="none"/>
        </w:tabs>
        <w:spacing w:line="264" w:lineRule="auto" w:before="157" w:after="0"/>
        <w:ind w:left="1439" w:right="1892" w:firstLine="0"/>
        <w:jc w:val="left"/>
        <w:rPr>
          <w:sz w:val="22"/>
        </w:rPr>
      </w:pPr>
      <w:r>
        <w:rPr>
          <w:spacing w:val="-2"/>
          <w:sz w:val="22"/>
        </w:rPr>
        <w:t>特色餐廳與主題咖啡館：這類餐飲企業致力於打造獨特的品牌形象和用餐體驗，需要透</w:t>
      </w:r>
      <w:r>
        <w:rPr>
          <w:spacing w:val="-3"/>
          <w:sz w:val="22"/>
        </w:rPr>
        <w:t>過現場種植確保香草和特色蔬菜的最佳風味與新鮮度。 </w:t>
      </w:r>
      <w:r>
        <w:rPr>
          <w:rFonts w:ascii="Calibri" w:hAnsi="Calibri" w:eastAsia="Calibri"/>
          <w:sz w:val="22"/>
        </w:rPr>
        <w:t>Autopot</w:t>
      </w:r>
      <w:r>
        <w:rPr>
          <w:rFonts w:ascii="Calibri" w:hAnsi="Calibri" w:eastAsia="Calibri"/>
          <w:spacing w:val="-13"/>
          <w:sz w:val="22"/>
        </w:rPr>
        <w:t> </w:t>
      </w:r>
      <w:r>
        <w:rPr>
          <w:sz w:val="22"/>
        </w:rPr>
        <w:t>系統可以提供他們直覺的</w:t>
      </w:r>
      <w:r>
        <w:rPr>
          <w:spacing w:val="-2"/>
          <w:sz w:val="22"/>
        </w:rPr>
        <w:t>食材展示，讓顧客親眼目睹食材的生長過程，並增強對食品安全的信心。</w:t>
      </w:r>
    </w:p>
    <w:p>
      <w:pPr>
        <w:pStyle w:val="ListParagraph"/>
        <w:numPr>
          <w:ilvl w:val="0"/>
          <w:numId w:val="2"/>
        </w:numPr>
        <w:tabs>
          <w:tab w:pos="1534" w:val="left" w:leader="none"/>
        </w:tabs>
        <w:spacing w:line="264" w:lineRule="auto" w:before="156" w:after="0"/>
        <w:ind w:left="1439" w:right="1892" w:firstLine="0"/>
        <w:jc w:val="left"/>
        <w:rPr>
          <w:sz w:val="22"/>
        </w:rPr>
      </w:pPr>
      <w:r>
        <w:rPr>
          <w:spacing w:val="-2"/>
          <w:sz w:val="22"/>
        </w:rPr>
        <w:t>精品旅館與生態民宿：這類住宿企業通常以環保概念和個人化體驗為核心賣點，需要透</w:t>
      </w:r>
      <w:r>
        <w:rPr>
          <w:spacing w:val="-3"/>
          <w:sz w:val="22"/>
        </w:rPr>
        <w:t>過綠色科技強化品牌形象，並為客人提供互動式農業體驗。 </w:t>
      </w:r>
      <w:r>
        <w:rPr>
          <w:rFonts w:ascii="Calibri" w:hAnsi="Calibri" w:eastAsia="Calibri"/>
          <w:sz w:val="22"/>
        </w:rPr>
        <w:t>Autopot</w:t>
      </w:r>
      <w:r>
        <w:rPr>
          <w:rFonts w:ascii="Calibri" w:hAnsi="Calibri" w:eastAsia="Calibri"/>
          <w:spacing w:val="-13"/>
          <w:sz w:val="22"/>
        </w:rPr>
        <w:t> </w:t>
      </w:r>
      <w:r>
        <w:rPr>
          <w:sz w:val="22"/>
        </w:rPr>
        <w:t>系統的無需電力和節</w:t>
      </w:r>
      <w:r>
        <w:rPr>
          <w:spacing w:val="-2"/>
          <w:sz w:val="22"/>
        </w:rPr>
        <w:t>水特性與他們的永續發展承諾高度契合。</w:t>
      </w:r>
    </w:p>
    <w:p>
      <w:pPr>
        <w:pStyle w:val="ListParagraph"/>
        <w:spacing w:after="0" w:line="264" w:lineRule="auto"/>
        <w:jc w:val="left"/>
        <w:rPr>
          <w:sz w:val="22"/>
        </w:rPr>
        <w:sectPr>
          <w:pgSz w:w="12240" w:h="15840"/>
          <w:pgMar w:top="1400" w:bottom="280" w:left="360" w:right="0"/>
        </w:sectPr>
      </w:pPr>
    </w:p>
    <w:p>
      <w:pPr>
        <w:pStyle w:val="BodyText"/>
        <w:spacing w:before="28"/>
      </w:pPr>
      <w:r>
        <w:rPr>
          <w:spacing w:val="-2"/>
        </w:rPr>
        <w:t>競爭環境分析</w:t>
      </w:r>
    </w:p>
    <w:p>
      <w:pPr>
        <w:pStyle w:val="BodyText"/>
        <w:spacing w:line="264" w:lineRule="auto" w:before="186"/>
        <w:ind w:right="1859"/>
      </w:pPr>
      <w:r>
        <w:rPr>
          <w:spacing w:val="-2"/>
        </w:rPr>
        <w:t>目前，餐飲旅宿業在食材供應方面主要依賴傳統供應鏈，包括本地農夫市集、批發商和進</w:t>
      </w:r>
      <w:r>
        <w:rPr/>
        <w:t>口食材。與傳統供應鏈相比，</w:t>
      </w:r>
      <w:r>
        <w:rPr>
          <w:rFonts w:ascii="Calibri" w:eastAsia="Calibri"/>
        </w:rPr>
        <w:t>Autopot </w:t>
      </w:r>
      <w:r>
        <w:rPr/>
        <w:t>系統提供的現場種植解決方案具有明顯優勢：</w:t>
      </w:r>
    </w:p>
    <w:p>
      <w:pPr>
        <w:pStyle w:val="ListParagraph"/>
        <w:numPr>
          <w:ilvl w:val="0"/>
          <w:numId w:val="2"/>
        </w:numPr>
        <w:tabs>
          <w:tab w:pos="1535" w:val="left" w:leader="none"/>
        </w:tabs>
        <w:spacing w:line="240" w:lineRule="auto" w:before="158" w:after="0"/>
        <w:ind w:left="1535" w:right="0" w:hanging="95"/>
        <w:jc w:val="left"/>
        <w:rPr>
          <w:sz w:val="22"/>
        </w:rPr>
      </w:pPr>
      <w:r>
        <w:rPr>
          <w:spacing w:val="-1"/>
          <w:sz w:val="22"/>
        </w:rPr>
        <w:t>與傳統農夫市集相比，可實現全年無休的生產，不受季節和氣候影響</w:t>
      </w:r>
    </w:p>
    <w:p>
      <w:pPr>
        <w:pStyle w:val="ListParagraph"/>
        <w:numPr>
          <w:ilvl w:val="0"/>
          <w:numId w:val="2"/>
        </w:numPr>
        <w:tabs>
          <w:tab w:pos="1535" w:val="left" w:leader="none"/>
        </w:tabs>
        <w:spacing w:line="240" w:lineRule="auto" w:before="188" w:after="0"/>
        <w:ind w:left="1535" w:right="0" w:hanging="95"/>
        <w:jc w:val="left"/>
        <w:rPr>
          <w:sz w:val="22"/>
        </w:rPr>
      </w:pPr>
      <w:r>
        <w:rPr>
          <w:spacing w:val="-1"/>
          <w:sz w:val="22"/>
        </w:rPr>
        <w:t>與批發商相比，極大縮短了從採摘到烹飪的時間，保持食材最佳風味和營養</w:t>
      </w:r>
    </w:p>
    <w:p>
      <w:pPr>
        <w:pStyle w:val="ListParagraph"/>
        <w:numPr>
          <w:ilvl w:val="0"/>
          <w:numId w:val="2"/>
        </w:numPr>
        <w:tabs>
          <w:tab w:pos="1535" w:val="left" w:leader="none"/>
        </w:tabs>
        <w:spacing w:line="240" w:lineRule="auto" w:before="186" w:after="0"/>
        <w:ind w:left="1535" w:right="0" w:hanging="95"/>
        <w:jc w:val="left"/>
        <w:rPr>
          <w:sz w:val="22"/>
        </w:rPr>
      </w:pPr>
      <w:r>
        <w:rPr>
          <w:spacing w:val="-1"/>
          <w:sz w:val="22"/>
        </w:rPr>
        <w:t>與進口食材相比，零運輸碳足跡，且完全避免防腐劑的使用</w:t>
      </w:r>
    </w:p>
    <w:p>
      <w:pPr>
        <w:pStyle w:val="BodyText"/>
        <w:spacing w:line="264" w:lineRule="auto" w:before="188"/>
        <w:ind w:right="1851"/>
      </w:pPr>
      <w:r>
        <w:rPr>
          <w:spacing w:val="-2"/>
        </w:rPr>
        <w:t>在垂直農業領域，主要的競爭技術包括水耕系統、氣耕系統和傳統垂直農場。這些系統往往需要複雜的設備、專業的維護和較高的能源投入，特別是 </w:t>
      </w:r>
      <w:r>
        <w:rPr>
          <w:rFonts w:ascii="Calibri" w:eastAsia="Calibri"/>
        </w:rPr>
        <w:t>LED</w:t>
      </w:r>
      <w:r>
        <w:rPr>
          <w:rFonts w:ascii="Calibri" w:eastAsia="Calibri"/>
          <w:spacing w:val="-13"/>
        </w:rPr>
        <w:t> </w:t>
      </w:r>
      <w:r>
        <w:rPr/>
        <w:t>照明和環境控制系統的能源消耗較高。相較之下，</w:t>
      </w:r>
      <w:r>
        <w:rPr>
          <w:rFonts w:ascii="Calibri" w:eastAsia="Calibri"/>
        </w:rPr>
        <w:t>Autopot </w:t>
      </w:r>
      <w:r>
        <w:rPr/>
        <w:t>系統的無耗能需求和低維護成本，使其在營運基礎和易</w:t>
      </w:r>
      <w:r>
        <w:rPr>
          <w:spacing w:val="-2"/>
        </w:rPr>
        <w:t>用性方面具有顯著競爭優勢。</w:t>
      </w:r>
    </w:p>
    <w:p>
      <w:pPr>
        <w:pStyle w:val="BodyText"/>
        <w:spacing w:before="2"/>
        <w:ind w:left="0"/>
        <w:rPr>
          <w:sz w:val="12"/>
        </w:rPr>
      </w:pPr>
      <w:r>
        <w:rPr>
          <w:sz w:val="12"/>
        </w:rPr>
        <w:drawing>
          <wp:anchor distT="0" distB="0" distL="0" distR="0" allowOverlap="1" layoutInCell="1" locked="0" behindDoc="1" simplePos="0" relativeHeight="487591424">
            <wp:simplePos x="0" y="0"/>
            <wp:positionH relativeFrom="page">
              <wp:posOffset>1018540</wp:posOffset>
            </wp:positionH>
            <wp:positionV relativeFrom="paragraph">
              <wp:posOffset>114379</wp:posOffset>
            </wp:positionV>
            <wp:extent cx="3117120" cy="1688973"/>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3117120" cy="1688973"/>
                    </a:xfrm>
                    <a:prstGeom prst="rect">
                      <a:avLst/>
                    </a:prstGeom>
                  </pic:spPr>
                </pic:pic>
              </a:graphicData>
            </a:graphic>
          </wp:anchor>
        </w:drawing>
      </w:r>
      <w:r>
        <w:rPr>
          <w:sz w:val="12"/>
        </w:rPr>
        <w:drawing>
          <wp:anchor distT="0" distB="0" distL="0" distR="0" allowOverlap="1" layoutInCell="1" locked="0" behindDoc="1" simplePos="0" relativeHeight="487591936">
            <wp:simplePos x="0" y="0"/>
            <wp:positionH relativeFrom="page">
              <wp:posOffset>4229100</wp:posOffset>
            </wp:positionH>
            <wp:positionV relativeFrom="paragraph">
              <wp:posOffset>114379</wp:posOffset>
            </wp:positionV>
            <wp:extent cx="2746339" cy="1688973"/>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2746339" cy="1688973"/>
                    </a:xfrm>
                    <a:prstGeom prst="rect">
                      <a:avLst/>
                    </a:prstGeom>
                  </pic:spPr>
                </pic:pic>
              </a:graphicData>
            </a:graphic>
          </wp:anchor>
        </w:drawing>
      </w:r>
    </w:p>
    <w:p>
      <w:pPr>
        <w:pStyle w:val="BodyText"/>
        <w:spacing w:before="109"/>
        <w:ind w:left="0"/>
      </w:pPr>
    </w:p>
    <w:p>
      <w:pPr>
        <w:pStyle w:val="Heading1"/>
        <w:numPr>
          <w:ilvl w:val="0"/>
          <w:numId w:val="1"/>
        </w:numPr>
        <w:tabs>
          <w:tab w:pos="1440" w:val="left" w:leader="none"/>
          <w:tab w:pos="1600" w:val="left" w:leader="none"/>
        </w:tabs>
        <w:spacing w:line="240" w:lineRule="auto" w:before="0" w:after="0"/>
        <w:ind w:left="1600" w:right="0" w:hanging="161"/>
        <w:jc w:val="left"/>
      </w:pPr>
      <w:r>
        <w:rPr>
          <w:color w:val="000000"/>
          <w:spacing w:val="-2"/>
          <w:shd w:fill="D9D9D9" w:color="auto" w:val="clear"/>
        </w:rPr>
        <w:t>系統設計與技術方案</w:t>
      </w:r>
    </w:p>
    <w:p>
      <w:pPr>
        <w:pStyle w:val="BodyText"/>
        <w:spacing w:before="182"/>
        <w:ind w:left="0"/>
        <w:rPr>
          <w:rFonts w:ascii="Microsoft JhengHei"/>
          <w:b/>
        </w:rPr>
      </w:pPr>
    </w:p>
    <w:p>
      <w:pPr>
        <w:pStyle w:val="BodyText"/>
      </w:pPr>
      <w:r>
        <w:rPr>
          <w:rFonts w:ascii="Calibri" w:eastAsia="Calibri"/>
        </w:rPr>
        <w:t>Autopot</w:t>
      </w:r>
      <w:r>
        <w:rPr>
          <w:rFonts w:ascii="Calibri" w:eastAsia="Calibri"/>
          <w:spacing w:val="5"/>
        </w:rPr>
        <w:t> </w:t>
      </w:r>
      <w:r>
        <w:rPr>
          <w:spacing w:val="-2"/>
        </w:rPr>
        <w:t>系統技術概述</w:t>
      </w:r>
    </w:p>
    <w:p>
      <w:pPr>
        <w:pStyle w:val="BodyText"/>
        <w:spacing w:line="264" w:lineRule="auto" w:before="188"/>
        <w:ind w:right="1807"/>
      </w:pPr>
      <w:r>
        <w:rPr>
          <w:rFonts w:ascii="Calibri" w:eastAsia="Calibri"/>
        </w:rPr>
        <w:t>Autopot </w:t>
      </w:r>
      <w:r>
        <w:rPr/>
        <w:t>系統是一種創新的自主潮汐養液栽培系統，其核心是基於重力供水和植物自身需</w:t>
      </w:r>
      <w:r>
        <w:rPr>
          <w:spacing w:val="-2"/>
        </w:rPr>
        <w:t>求驅動的灌溉機制。系統由幾個關鍵組件構成：重力高的儲液桶、分佈管路和專利 </w:t>
      </w:r>
      <w:r>
        <w:rPr>
          <w:rFonts w:ascii="Calibri" w:eastAsia="Calibri"/>
        </w:rPr>
        <w:t>Smart </w:t>
      </w:r>
      <w:r>
        <w:rPr>
          <w:rFonts w:ascii="Calibri" w:eastAsia="Calibri"/>
          <w:spacing w:val="-2"/>
        </w:rPr>
        <w:t>Valve</w:t>
      </w:r>
      <w:r>
        <w:rPr>
          <w:spacing w:val="-2"/>
        </w:rPr>
        <w:t>，它透過簡單的機械原理實現潮汐作動：當種植盆中的養液被植物利用或蒸發至低位時，閥門自動打開補充養液；當養液達到預設水平時，閥門自動關閉。這種乾濕交替的自體循環，模擬了自然的灌溉模式，已被證明能促進植物健康生長和根系的發育。</w:t>
      </w:r>
    </w:p>
    <w:p>
      <w:pPr>
        <w:pStyle w:val="BodyText"/>
        <w:spacing w:line="264" w:lineRule="auto" w:before="154"/>
        <w:ind w:left="1439" w:right="1842"/>
        <w:jc w:val="both"/>
      </w:pPr>
      <w:r>
        <w:rPr/>
        <w:t>系統可同時結合生態複合式養殖</w:t>
      </w:r>
      <w:r>
        <w:rPr>
          <w:rFonts w:ascii="Calibri" w:hAnsi="Calibri" w:eastAsia="Calibri"/>
        </w:rPr>
        <w:t>”</w:t>
      </w:r>
      <w:r>
        <w:rPr>
          <w:spacing w:val="-4"/>
        </w:rPr>
        <w:t>魚菜共生技術 </w:t>
      </w:r>
      <w:r>
        <w:rPr>
          <w:rFonts w:ascii="Calibri" w:hAnsi="Calibri" w:eastAsia="Calibri"/>
          <w:spacing w:val="-6"/>
        </w:rPr>
        <w:t>” </w:t>
      </w:r>
      <w:r>
        <w:rPr>
          <w:rFonts w:ascii="Calibri" w:hAnsi="Calibri" w:eastAsia="Calibri"/>
        </w:rPr>
        <w:t>Smart</w:t>
      </w:r>
      <w:r>
        <w:rPr>
          <w:rFonts w:ascii="Calibri" w:hAnsi="Calibri" w:eastAsia="Calibri"/>
          <w:spacing w:val="-13"/>
        </w:rPr>
        <w:t> </w:t>
      </w:r>
      <w:r>
        <w:rPr>
          <w:rFonts w:ascii="Calibri" w:hAnsi="Calibri" w:eastAsia="Calibri"/>
        </w:rPr>
        <w:t>Aqua</w:t>
      </w:r>
      <w:r>
        <w:rPr>
          <w:rFonts w:ascii="Calibri" w:hAnsi="Calibri" w:eastAsia="Calibri"/>
          <w:spacing w:val="-12"/>
        </w:rPr>
        <w:t> </w:t>
      </w:r>
      <w:r>
        <w:rPr/>
        <w:t>進行順暢的運行，</w:t>
      </w:r>
      <w:r>
        <w:rPr>
          <w:rFonts w:ascii="Calibri" w:hAnsi="Calibri" w:eastAsia="Calibri"/>
        </w:rPr>
        <w:t>Smart</w:t>
      </w:r>
      <w:r>
        <w:rPr>
          <w:rFonts w:ascii="Calibri" w:hAnsi="Calibri" w:eastAsia="Calibri"/>
          <w:spacing w:val="-13"/>
        </w:rPr>
        <w:t> </w:t>
      </w:r>
      <w:r>
        <w:rPr>
          <w:rFonts w:ascii="Calibri" w:hAnsi="Calibri" w:eastAsia="Calibri"/>
        </w:rPr>
        <w:t>Aqua</w:t>
      </w:r>
      <w:r>
        <w:rPr>
          <w:spacing w:val="-2"/>
        </w:rPr>
        <w:t>是一項新式對應概念且實用性高的魚菜共生技術，不同於坊間媒體炒作的舊觀念循環式架</w:t>
      </w:r>
      <w:r>
        <w:rPr>
          <w:spacing w:val="-6"/>
        </w:rPr>
        <w:t>構，整個 </w:t>
      </w:r>
      <w:r>
        <w:rPr>
          <w:rFonts w:ascii="Calibri" w:hAnsi="Calibri" w:eastAsia="Calibri"/>
        </w:rPr>
        <w:t>Autopot</w:t>
      </w:r>
      <w:r>
        <w:rPr>
          <w:rFonts w:ascii="Calibri" w:hAnsi="Calibri" w:eastAsia="Calibri"/>
          <w:spacing w:val="-11"/>
        </w:rPr>
        <w:t> </w:t>
      </w:r>
      <w:r>
        <w:rPr/>
        <w:t>技術可充分與之融合，達到環境整潔，管理簡便且景觀營造性高的優雅</w:t>
      </w:r>
      <w:r>
        <w:rPr>
          <w:spacing w:val="-2"/>
        </w:rPr>
        <w:t>綠色生態企業形像。</w:t>
      </w:r>
    </w:p>
    <w:p>
      <w:pPr>
        <w:pStyle w:val="BodyText"/>
        <w:ind w:left="0"/>
      </w:pPr>
    </w:p>
    <w:p>
      <w:pPr>
        <w:pStyle w:val="BodyText"/>
        <w:spacing w:before="41"/>
        <w:ind w:left="0"/>
      </w:pPr>
    </w:p>
    <w:p>
      <w:pPr>
        <w:pStyle w:val="BodyText"/>
        <w:spacing w:before="1"/>
      </w:pPr>
      <w:r>
        <w:rPr>
          <w:spacing w:val="-1"/>
        </w:rPr>
        <w:t>餐飲旅宿業整合應用模式</w:t>
      </w:r>
    </w:p>
    <w:p>
      <w:pPr>
        <w:pStyle w:val="BodyText"/>
        <w:spacing w:before="186"/>
      </w:pPr>
      <w:r>
        <w:rPr>
          <w:spacing w:val="-1"/>
        </w:rPr>
        <w:t>根據餐飲旅宿業的不同空間特色與需求，我們設計了三種主要應用模式：</w:t>
      </w:r>
    </w:p>
    <w:p>
      <w:pPr>
        <w:pStyle w:val="BodyText"/>
        <w:spacing w:after="0"/>
        <w:sectPr>
          <w:pgSz w:w="12240" w:h="15840"/>
          <w:pgMar w:top="1400" w:bottom="280" w:left="360" w:right="0"/>
        </w:sectPr>
      </w:pPr>
    </w:p>
    <w:p>
      <w:pPr>
        <w:pStyle w:val="ListParagraph"/>
        <w:numPr>
          <w:ilvl w:val="0"/>
          <w:numId w:val="3"/>
        </w:numPr>
        <w:tabs>
          <w:tab w:pos="1598" w:val="left" w:leader="none"/>
        </w:tabs>
        <w:spacing w:line="264" w:lineRule="auto" w:before="28" w:after="0"/>
        <w:ind w:left="1439" w:right="1859" w:firstLine="0"/>
        <w:jc w:val="left"/>
        <w:rPr>
          <w:sz w:val="22"/>
        </w:rPr>
      </w:pPr>
      <w:r>
        <w:rPr>
          <w:spacing w:val="-2"/>
          <w:sz w:val="22"/>
        </w:rPr>
        <w:t>廚房香草花園：在餐廳廚房或鄰近區域設置小型 </w:t>
      </w:r>
      <w:r>
        <w:rPr>
          <w:rFonts w:ascii="Calibri" w:hAnsi="Calibri" w:eastAsia="Calibri"/>
          <w:sz w:val="22"/>
        </w:rPr>
        <w:t>Autopot </w:t>
      </w:r>
      <w:r>
        <w:rPr>
          <w:sz w:val="22"/>
        </w:rPr>
        <w:t>模組，專門種植常用烹飪香草</w:t>
      </w:r>
      <w:r>
        <w:rPr>
          <w:spacing w:val="-2"/>
          <w:sz w:val="22"/>
        </w:rPr>
        <w:t>如羅勒、薄荷、迷迭香、百里香等。這些香草在採摘後幾分鐘內即可用於烹飪，保持最佳風味和香氣。這種模式特別適合空間有限的餐廳，只需幾個平方公尺的面積即可滿足日常香草需求。</w:t>
      </w:r>
    </w:p>
    <w:p>
      <w:pPr>
        <w:pStyle w:val="ListParagraph"/>
        <w:numPr>
          <w:ilvl w:val="0"/>
          <w:numId w:val="3"/>
        </w:numPr>
        <w:tabs>
          <w:tab w:pos="1598" w:val="left" w:leader="none"/>
        </w:tabs>
        <w:spacing w:line="264" w:lineRule="auto" w:before="155" w:after="0"/>
        <w:ind w:left="1439" w:right="1859" w:firstLine="0"/>
        <w:jc w:val="left"/>
        <w:rPr>
          <w:sz w:val="22"/>
        </w:rPr>
      </w:pPr>
      <w:r>
        <w:rPr>
          <w:spacing w:val="-1"/>
          <w:sz w:val="22"/>
        </w:rPr>
        <w:t>裝飾性食用植物區：在飯店大廳、餐廳牆面或客房陽台安裝垂直佈置的 </w:t>
      </w:r>
      <w:r>
        <w:rPr>
          <w:rFonts w:ascii="Calibri" w:hAnsi="Calibri" w:eastAsia="Calibri"/>
          <w:sz w:val="22"/>
        </w:rPr>
        <w:t>Autopot </w:t>
      </w:r>
      <w:r>
        <w:rPr>
          <w:sz w:val="22"/>
        </w:rPr>
        <w:t>系統，</w:t>
      </w:r>
      <w:r>
        <w:rPr>
          <w:spacing w:val="-2"/>
          <w:sz w:val="22"/>
        </w:rPr>
        <w:t>種植兼具觀賞和食用價值的植物，如可食用花卉、小葉菜和草莓等。這些植物景觀不僅提供食材，還作為獨特的裝飾元素，提升空間美感，同時向客人展示企業的環保承諾。</w:t>
      </w:r>
    </w:p>
    <w:p>
      <w:pPr>
        <w:pStyle w:val="ListParagraph"/>
        <w:numPr>
          <w:ilvl w:val="0"/>
          <w:numId w:val="3"/>
        </w:numPr>
        <w:tabs>
          <w:tab w:pos="1598" w:val="left" w:leader="none"/>
        </w:tabs>
        <w:spacing w:line="264" w:lineRule="auto" w:before="156" w:after="0"/>
        <w:ind w:left="1439" w:right="1859" w:firstLine="0"/>
        <w:jc w:val="left"/>
        <w:rPr>
          <w:sz w:val="22"/>
        </w:rPr>
      </w:pPr>
      <w:r>
        <w:rPr>
          <w:spacing w:val="-1"/>
          <w:sz w:val="22"/>
        </w:rPr>
        <w:t>屋頂量產菜園：利用飯店或餐廳的屋頂空間部署中型到大型設施化 </w:t>
      </w:r>
      <w:r>
        <w:rPr>
          <w:rFonts w:ascii="Calibri" w:hAnsi="Calibri" w:eastAsia="Calibri"/>
          <w:sz w:val="22"/>
        </w:rPr>
        <w:t>Autopot </w:t>
      </w:r>
      <w:r>
        <w:rPr>
          <w:sz w:val="22"/>
        </w:rPr>
        <w:t>系統，進行</w:t>
      </w:r>
      <w:r>
        <w:rPr>
          <w:spacing w:val="-2"/>
          <w:sz w:val="22"/>
        </w:rPr>
        <w:t>較高產量的蔬菜生產，如萵苣、芝麻菜、菠菜、番茄、胡瓜等快速生長的葉果菜類。這種模式可滿足機構部分甚至全部的蔬菜需求，同時充分利用未使用的空間，為城市增添綠色基礎設施。</w:t>
      </w:r>
    </w:p>
    <w:p>
      <w:pPr>
        <w:pStyle w:val="BodyText"/>
        <w:spacing w:before="3"/>
        <w:ind w:left="0"/>
        <w:rPr>
          <w:sz w:val="8"/>
        </w:rPr>
      </w:pPr>
      <w:r>
        <w:rPr>
          <w:sz w:val="8"/>
        </w:rPr>
        <w:drawing>
          <wp:anchor distT="0" distB="0" distL="0" distR="0" allowOverlap="1" layoutInCell="1" locked="0" behindDoc="1" simplePos="0" relativeHeight="487592448">
            <wp:simplePos x="0" y="0"/>
            <wp:positionH relativeFrom="page">
              <wp:posOffset>1060450</wp:posOffset>
            </wp:positionH>
            <wp:positionV relativeFrom="paragraph">
              <wp:posOffset>82748</wp:posOffset>
            </wp:positionV>
            <wp:extent cx="3066543" cy="2158365"/>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3066543" cy="2158365"/>
                    </a:xfrm>
                    <a:prstGeom prst="rect">
                      <a:avLst/>
                    </a:prstGeom>
                  </pic:spPr>
                </pic:pic>
              </a:graphicData>
            </a:graphic>
          </wp:anchor>
        </w:drawing>
      </w:r>
      <w:r>
        <w:rPr>
          <w:sz w:val="8"/>
        </w:rPr>
        <w:drawing>
          <wp:anchor distT="0" distB="0" distL="0" distR="0" allowOverlap="1" layoutInCell="1" locked="0" behindDoc="1" simplePos="0" relativeHeight="487592960">
            <wp:simplePos x="0" y="0"/>
            <wp:positionH relativeFrom="page">
              <wp:posOffset>4279900</wp:posOffset>
            </wp:positionH>
            <wp:positionV relativeFrom="paragraph">
              <wp:posOffset>82748</wp:posOffset>
            </wp:positionV>
            <wp:extent cx="2444351" cy="2158365"/>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5" cstate="print"/>
                    <a:stretch>
                      <a:fillRect/>
                    </a:stretch>
                  </pic:blipFill>
                  <pic:spPr>
                    <a:xfrm>
                      <a:off x="0" y="0"/>
                      <a:ext cx="2444351" cy="2158365"/>
                    </a:xfrm>
                    <a:prstGeom prst="rect">
                      <a:avLst/>
                    </a:prstGeom>
                  </pic:spPr>
                </pic:pic>
              </a:graphicData>
            </a:graphic>
          </wp:anchor>
        </w:drawing>
      </w:r>
    </w:p>
    <w:p>
      <w:pPr>
        <w:pStyle w:val="BodyText"/>
        <w:spacing w:before="224"/>
        <w:ind w:left="1439"/>
      </w:pPr>
      <w:r>
        <w:rPr>
          <w:spacing w:val="-18"/>
        </w:rPr>
        <w:t>應用模式 適合植物種類 所需空間 預期產量 主要優勢</w:t>
      </w:r>
    </w:p>
    <w:p>
      <w:pPr>
        <w:pStyle w:val="BodyText"/>
        <w:spacing w:before="188"/>
        <w:ind w:left="1439"/>
      </w:pPr>
      <w:r>
        <w:rPr>
          <w:spacing w:val="-13"/>
        </w:rPr>
        <w:t>廚房香草花園： 烹飪香草 </w:t>
      </w:r>
      <w:r>
        <w:rPr>
          <w:rFonts w:ascii="Calibri" w:eastAsia="Calibri"/>
        </w:rPr>
        <w:t>1-3 </w:t>
      </w:r>
      <w:r>
        <w:rPr>
          <w:spacing w:val="-24"/>
        </w:rPr>
        <w:t>㎡ 每日 </w:t>
      </w:r>
      <w:r>
        <w:rPr>
          <w:rFonts w:ascii="Calibri" w:eastAsia="Calibri"/>
        </w:rPr>
        <w:t>0.5-1kg</w:t>
      </w:r>
      <w:r>
        <w:rPr>
          <w:rFonts w:ascii="Calibri" w:eastAsia="Calibri"/>
          <w:spacing w:val="-1"/>
        </w:rPr>
        <w:t> </w:t>
      </w:r>
      <w:r>
        <w:rPr>
          <w:spacing w:val="-2"/>
        </w:rPr>
        <w:t>極致新鮮，方便取用</w:t>
      </w:r>
    </w:p>
    <w:p>
      <w:pPr>
        <w:pStyle w:val="BodyText"/>
        <w:spacing w:line="400" w:lineRule="auto" w:before="186"/>
        <w:ind w:left="1439" w:right="2408"/>
      </w:pPr>
      <w:r>
        <w:rPr>
          <w:spacing w:val="-10"/>
        </w:rPr>
        <w:t>裝飾性食用植物區： 食用花卉、微型蔬菜 牆面空間 每日 </w:t>
      </w:r>
      <w:r>
        <w:rPr>
          <w:rFonts w:ascii="Calibri" w:eastAsia="Calibri"/>
        </w:rPr>
        <w:t>0.3-0.5kg </w:t>
      </w:r>
      <w:r>
        <w:rPr/>
        <w:t>裝飾與功能結合</w:t>
      </w:r>
      <w:r>
        <w:rPr>
          <w:spacing w:val="-11"/>
        </w:rPr>
        <w:t>屋頂量產設施菜園： 葉菜、草莓 </w:t>
      </w:r>
      <w:r>
        <w:rPr>
          <w:rFonts w:ascii="Calibri" w:eastAsia="Calibri"/>
        </w:rPr>
        <w:t>5-20</w:t>
      </w:r>
      <w:r>
        <w:rPr>
          <w:rFonts w:ascii="Calibri" w:eastAsia="Calibri"/>
          <w:spacing w:val="-13"/>
        </w:rPr>
        <w:t> </w:t>
      </w:r>
      <w:r>
        <w:rPr>
          <w:spacing w:val="-17"/>
        </w:rPr>
        <w:t>㎡ 每平方公尺 </w:t>
      </w:r>
      <w:r>
        <w:rPr>
          <w:rFonts w:ascii="Calibri" w:eastAsia="Calibri"/>
        </w:rPr>
        <w:t>10-30kg</w:t>
      </w:r>
      <w:r>
        <w:rPr>
          <w:rFonts w:ascii="Calibri" w:eastAsia="Calibri"/>
          <w:spacing w:val="-12"/>
        </w:rPr>
        <w:t> </w:t>
      </w:r>
      <w:r>
        <w:rPr/>
        <w:t>較高產量，規模經濟。</w:t>
      </w:r>
    </w:p>
    <w:p>
      <w:pPr>
        <w:pStyle w:val="BodyText"/>
        <w:spacing w:before="164"/>
        <w:ind w:left="0"/>
      </w:pPr>
    </w:p>
    <w:p>
      <w:pPr>
        <w:pStyle w:val="BodyText"/>
        <w:spacing w:before="1"/>
        <w:ind w:left="1439"/>
      </w:pPr>
      <w:r>
        <w:rPr>
          <w:spacing w:val="-2"/>
        </w:rPr>
        <w:t>空間佈局與設計規劃</w:t>
      </w:r>
    </w:p>
    <w:p>
      <w:pPr>
        <w:pStyle w:val="BodyText"/>
        <w:spacing w:line="264" w:lineRule="auto" w:before="186"/>
        <w:ind w:left="1439" w:right="1812"/>
      </w:pPr>
      <w:r>
        <w:rPr>
          <w:spacing w:val="-2"/>
        </w:rPr>
        <w:t>在空間佈局方面，我們建議採用模組化設計，使系統能夠靈活適應不同場所的空間限制和需求。模組化設計 </w:t>
      </w:r>
      <w:r>
        <w:rPr>
          <w:rFonts w:ascii="Calibri" w:eastAsia="Calibri"/>
        </w:rPr>
        <w:t>Hanging pot </w:t>
      </w:r>
      <w:r>
        <w:rPr/>
        <w:t>讓系統可以根據可用空間的形狀和大小進行定制，無論是</w:t>
      </w:r>
      <w:r>
        <w:rPr>
          <w:spacing w:val="-2"/>
        </w:rPr>
        <w:t>狹長的走廊、不規則的角落還是垂直的牆面或天花板、屋頂，都可以高效利用，</w:t>
      </w:r>
      <w:r>
        <w:rPr>
          <w:rFonts w:ascii="Calibri" w:eastAsia="Calibri"/>
          <w:spacing w:val="-2"/>
        </w:rPr>
        <w:t>Hanging </w:t>
      </w:r>
      <w:r>
        <w:rPr>
          <w:rFonts w:ascii="Calibri" w:eastAsia="Calibri"/>
        </w:rPr>
        <w:t>Pot</w:t>
      </w:r>
      <w:r>
        <w:rPr>
          <w:rFonts w:ascii="Calibri" w:eastAsia="Calibri"/>
          <w:spacing w:val="-7"/>
        </w:rPr>
        <w:t> (</w:t>
      </w:r>
      <w:r>
        <w:rPr/>
        <w:t>飛悅、翔悅系列</w:t>
      </w:r>
      <w:r>
        <w:rPr>
          <w:rFonts w:ascii="Calibri" w:eastAsia="Calibri"/>
        </w:rPr>
        <w:t>)</w:t>
      </w:r>
      <w:r>
        <w:rPr/>
        <w:t>擁有獨步全球的不流滴技術，空中自動潮汐給液。對於新建築項目，</w:t>
      </w:r>
      <w:r>
        <w:rPr>
          <w:spacing w:val="-8"/>
        </w:rPr>
        <w:t>可考慮將 </w:t>
      </w:r>
      <w:r>
        <w:rPr>
          <w:rFonts w:ascii="Calibri" w:eastAsia="Calibri"/>
        </w:rPr>
        <w:t>Autopot </w:t>
      </w:r>
      <w:r>
        <w:rPr/>
        <w:t>系統整合到建築設計階段，如特定的種植區域、綠色屋頂或中庭空間懸</w:t>
      </w:r>
      <w:r>
        <w:rPr>
          <w:spacing w:val="-2"/>
        </w:rPr>
        <w:t>掛架構；對於現有設施，則可採用即插即用的容器式設計，便於安裝和移動。</w:t>
      </w:r>
    </w:p>
    <w:p>
      <w:pPr>
        <w:pStyle w:val="BodyText"/>
        <w:spacing w:line="264" w:lineRule="auto" w:before="153"/>
        <w:ind w:left="1439" w:right="1858"/>
      </w:pPr>
      <w:r>
        <w:rPr>
          <w:spacing w:val="-2"/>
        </w:rPr>
        <w:t>系統設計還需考慮美觀性與功能性的結合。種植容器和支架可採用與室內設計協調的材料</w:t>
      </w:r>
      <w:r>
        <w:rPr/>
        <w:t>和顏色，照明系統（如需要補充光照）</w:t>
      </w:r>
      <w:r>
        <w:rPr>
          <w:spacing w:val="-1"/>
        </w:rPr>
        <w:t>應兼顧植物生長需求和環境氛圍營造。在餐廳和飯</w:t>
      </w:r>
    </w:p>
    <w:p>
      <w:pPr>
        <w:pStyle w:val="BodyText"/>
        <w:spacing w:after="0" w:line="264" w:lineRule="auto"/>
        <w:sectPr>
          <w:pgSz w:w="12240" w:h="15840"/>
          <w:pgMar w:top="1400" w:bottom="280" w:left="360" w:right="0"/>
        </w:sectPr>
      </w:pPr>
    </w:p>
    <w:p>
      <w:pPr>
        <w:pStyle w:val="BodyText"/>
        <w:spacing w:line="261" w:lineRule="auto" w:before="28"/>
        <w:ind w:right="1859"/>
      </w:pPr>
      <w:r>
        <w:rPr>
          <w:spacing w:val="-2"/>
        </w:rPr>
        <w:t>店公共區域，可增加資訊識別和互動元素，如植物名稱標籤、生長週期說明和採摘示範，提升客戶的食農教育體驗和參與感。</w:t>
      </w:r>
    </w:p>
    <w:p>
      <w:pPr>
        <w:pStyle w:val="BodyText"/>
        <w:spacing w:before="1"/>
        <w:ind w:left="0"/>
        <w:rPr>
          <w:sz w:val="15"/>
        </w:rPr>
      </w:pPr>
      <w:r>
        <w:rPr>
          <w:sz w:val="15"/>
        </w:rPr>
        <w:drawing>
          <wp:anchor distT="0" distB="0" distL="0" distR="0" allowOverlap="1" layoutInCell="1" locked="0" behindDoc="1" simplePos="0" relativeHeight="487593472">
            <wp:simplePos x="0" y="0"/>
            <wp:positionH relativeFrom="page">
              <wp:posOffset>876300</wp:posOffset>
            </wp:positionH>
            <wp:positionV relativeFrom="paragraph">
              <wp:posOffset>138120</wp:posOffset>
            </wp:positionV>
            <wp:extent cx="3370104" cy="2018823"/>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6" cstate="print"/>
                    <a:stretch>
                      <a:fillRect/>
                    </a:stretch>
                  </pic:blipFill>
                  <pic:spPr>
                    <a:xfrm>
                      <a:off x="0" y="0"/>
                      <a:ext cx="3370104" cy="2018823"/>
                    </a:xfrm>
                    <a:prstGeom prst="rect">
                      <a:avLst/>
                    </a:prstGeom>
                  </pic:spPr>
                </pic:pic>
              </a:graphicData>
            </a:graphic>
          </wp:anchor>
        </w:drawing>
      </w:r>
      <w:r>
        <w:rPr>
          <w:sz w:val="15"/>
        </w:rPr>
        <w:drawing>
          <wp:anchor distT="0" distB="0" distL="0" distR="0" allowOverlap="1" layoutInCell="1" locked="0" behindDoc="1" simplePos="0" relativeHeight="487593984">
            <wp:simplePos x="0" y="0"/>
            <wp:positionH relativeFrom="page">
              <wp:posOffset>4298950</wp:posOffset>
            </wp:positionH>
            <wp:positionV relativeFrom="paragraph">
              <wp:posOffset>138120</wp:posOffset>
            </wp:positionV>
            <wp:extent cx="2766885" cy="2018823"/>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7" cstate="print"/>
                    <a:stretch>
                      <a:fillRect/>
                    </a:stretch>
                  </pic:blipFill>
                  <pic:spPr>
                    <a:xfrm>
                      <a:off x="0" y="0"/>
                      <a:ext cx="2766885" cy="2018823"/>
                    </a:xfrm>
                    <a:prstGeom prst="rect">
                      <a:avLst/>
                    </a:prstGeom>
                  </pic:spPr>
                </pic:pic>
              </a:graphicData>
            </a:graphic>
          </wp:anchor>
        </w:drawing>
      </w:r>
    </w:p>
    <w:p>
      <w:pPr>
        <w:pStyle w:val="BodyText"/>
        <w:ind w:left="0"/>
      </w:pPr>
    </w:p>
    <w:p>
      <w:pPr>
        <w:pStyle w:val="BodyText"/>
        <w:spacing w:before="178"/>
        <w:ind w:left="0"/>
      </w:pPr>
    </w:p>
    <w:p>
      <w:pPr>
        <w:pStyle w:val="Heading1"/>
        <w:numPr>
          <w:ilvl w:val="0"/>
          <w:numId w:val="1"/>
        </w:numPr>
        <w:tabs>
          <w:tab w:pos="1601" w:val="left" w:leader="none"/>
        </w:tabs>
        <w:spacing w:line="240" w:lineRule="auto" w:before="0" w:after="0"/>
        <w:ind w:left="1601" w:right="0" w:hanging="161"/>
        <w:jc w:val="left"/>
      </w:pPr>
      <w:r>
        <w:rPr>
          <w:color w:val="000000"/>
          <w:spacing w:val="-2"/>
          <w:shd w:fill="D9D9D9" w:color="auto" w:val="clear"/>
        </w:rPr>
        <w:t>實施與營運計劃</w:t>
      </w:r>
    </w:p>
    <w:p>
      <w:pPr>
        <w:pStyle w:val="BodyText"/>
        <w:spacing w:before="181"/>
        <w:ind w:left="0"/>
        <w:rPr>
          <w:rFonts w:ascii="Microsoft JhengHei"/>
          <w:b/>
        </w:rPr>
      </w:pPr>
    </w:p>
    <w:p>
      <w:pPr>
        <w:pStyle w:val="BodyText"/>
      </w:pPr>
      <w:r>
        <w:rPr>
          <w:spacing w:val="-2"/>
        </w:rPr>
        <w:t>分階段實施計劃</w:t>
      </w:r>
    </w:p>
    <w:p>
      <w:pPr>
        <w:pStyle w:val="BodyText"/>
        <w:spacing w:before="188"/>
      </w:pPr>
      <w:r>
        <w:rPr>
          <w:spacing w:val="-1"/>
        </w:rPr>
        <w:t>為確保專案順利推進，我們建議採用三階段實施策略，逐步擴展系統規模與複雜度：</w:t>
      </w:r>
    </w:p>
    <w:p>
      <w:pPr>
        <w:pStyle w:val="ListParagraph"/>
        <w:numPr>
          <w:ilvl w:val="0"/>
          <w:numId w:val="2"/>
        </w:numPr>
        <w:tabs>
          <w:tab w:pos="1535" w:val="left" w:leader="none"/>
        </w:tabs>
        <w:spacing w:line="240" w:lineRule="auto" w:before="187" w:after="0"/>
        <w:ind w:left="1535" w:right="0" w:hanging="95"/>
        <w:jc w:val="left"/>
        <w:rPr>
          <w:sz w:val="22"/>
        </w:rPr>
      </w:pPr>
      <w:r>
        <w:rPr>
          <w:sz w:val="22"/>
        </w:rPr>
        <w:t>第一階段：試點測試與概念驗證（</w:t>
      </w:r>
      <w:r>
        <w:rPr>
          <w:rFonts w:ascii="Calibri" w:hAnsi="Calibri" w:eastAsia="Calibri"/>
          <w:sz w:val="22"/>
        </w:rPr>
        <w:t>1-3</w:t>
      </w:r>
      <w:r>
        <w:rPr>
          <w:rFonts w:ascii="Calibri" w:hAnsi="Calibri" w:eastAsia="Calibri"/>
          <w:spacing w:val="6"/>
          <w:sz w:val="22"/>
        </w:rPr>
        <w:t> </w:t>
      </w:r>
      <w:r>
        <w:rPr>
          <w:sz w:val="22"/>
        </w:rPr>
        <w:t>個月</w:t>
      </w:r>
      <w:r>
        <w:rPr>
          <w:spacing w:val="-10"/>
          <w:sz w:val="22"/>
        </w:rPr>
        <w:t>）</w:t>
      </w:r>
    </w:p>
    <w:p>
      <w:pPr>
        <w:pStyle w:val="BodyText"/>
        <w:spacing w:line="264" w:lineRule="auto" w:before="188"/>
        <w:ind w:right="1837" w:firstLine="49"/>
      </w:pPr>
      <w:r>
        <w:rPr>
          <w:spacing w:val="-3"/>
        </w:rPr>
        <w:t>在選定的一到兩個餐廳或飯店區域安裝小規模 </w:t>
      </w:r>
      <w:r>
        <w:rPr>
          <w:rFonts w:ascii="Calibri" w:eastAsia="Calibri"/>
        </w:rPr>
        <w:t>Autopot</w:t>
      </w:r>
      <w:r>
        <w:rPr>
          <w:rFonts w:ascii="Calibri" w:eastAsia="Calibri"/>
          <w:spacing w:val="-13"/>
        </w:rPr>
        <w:t> </w:t>
      </w:r>
      <w:r>
        <w:rPr/>
        <w:t>系統，進行技術驗證和營運流程測</w:t>
      </w:r>
      <w:r>
        <w:rPr>
          <w:spacing w:val="-2"/>
        </w:rPr>
        <w:t>試。此階段的主要目標包括：測試系統在不同環境條件下的表現，訓練員工掌握基本操作技能，評估初步產量和品質，收集客人回饋。選擇種植生長快速、需求穩定的香草和葉</w:t>
      </w:r>
      <w:r>
        <w:rPr>
          <w:spacing w:val="40"/>
        </w:rPr>
        <w:t> </w:t>
      </w:r>
      <w:r>
        <w:rPr>
          <w:spacing w:val="-2"/>
        </w:rPr>
        <w:t>菜，如羅勒、生菜和芝麻菜品種，以便快速驗證概念。同時，開發初步的標準作業程序和培訓材料，為後續擴展奠定基礎。</w:t>
      </w:r>
    </w:p>
    <w:p>
      <w:pPr>
        <w:pStyle w:val="ListParagraph"/>
        <w:numPr>
          <w:ilvl w:val="0"/>
          <w:numId w:val="2"/>
        </w:numPr>
        <w:tabs>
          <w:tab w:pos="1535" w:val="left" w:leader="none"/>
        </w:tabs>
        <w:spacing w:line="240" w:lineRule="auto" w:before="153" w:after="0"/>
        <w:ind w:left="1535" w:right="0" w:hanging="95"/>
        <w:jc w:val="left"/>
        <w:rPr>
          <w:sz w:val="22"/>
        </w:rPr>
      </w:pPr>
      <w:r>
        <w:rPr>
          <w:sz w:val="22"/>
        </w:rPr>
        <w:t>第二階段：系統擴展與流程最佳化（</w:t>
      </w:r>
      <w:r>
        <w:rPr>
          <w:rFonts w:ascii="Calibri" w:hAnsi="Calibri" w:eastAsia="Calibri"/>
          <w:sz w:val="22"/>
        </w:rPr>
        <w:t>4-9</w:t>
      </w:r>
      <w:r>
        <w:rPr>
          <w:rFonts w:ascii="Calibri" w:hAnsi="Calibri" w:eastAsia="Calibri"/>
          <w:spacing w:val="6"/>
          <w:sz w:val="22"/>
        </w:rPr>
        <w:t> </w:t>
      </w:r>
      <w:r>
        <w:rPr>
          <w:sz w:val="22"/>
        </w:rPr>
        <w:t>個月</w:t>
      </w:r>
      <w:r>
        <w:rPr>
          <w:spacing w:val="-10"/>
          <w:sz w:val="22"/>
        </w:rPr>
        <w:t>）</w:t>
      </w:r>
    </w:p>
    <w:p>
      <w:pPr>
        <w:pStyle w:val="BodyText"/>
        <w:spacing w:line="264" w:lineRule="auto" w:before="186"/>
        <w:ind w:right="1807" w:firstLine="49"/>
        <w:jc w:val="both"/>
      </w:pPr>
      <w:r>
        <w:rPr>
          <w:spacing w:val="-2"/>
        </w:rPr>
        <w:t>基於第一階段的經驗和數據，擴大種植面積和作物種類，將系統擴展至更多區域。此階段可引入更複雜的作物，如食用花卉和特色蔬菜，並優化養液配方和種植計劃以配合廚房需</w:t>
      </w:r>
      <w:r>
        <w:rPr>
          <w:spacing w:val="-6"/>
        </w:rPr>
        <w:t>求。同時導入 </w:t>
      </w:r>
      <w:r>
        <w:rPr>
          <w:rFonts w:ascii="Calibri" w:eastAsia="Calibri"/>
          <w:spacing w:val="-2"/>
        </w:rPr>
        <w:t>Autopot</w:t>
      </w:r>
      <w:r>
        <w:rPr>
          <w:rFonts w:ascii="Calibri" w:eastAsia="Calibri"/>
          <w:spacing w:val="-10"/>
        </w:rPr>
        <w:t> </w:t>
      </w:r>
      <w:r>
        <w:rPr>
          <w:spacing w:val="-10"/>
        </w:rPr>
        <w:t>電腦 </w:t>
      </w:r>
      <w:r>
        <w:rPr>
          <w:rFonts w:ascii="Calibri" w:eastAsia="Calibri"/>
          <w:spacing w:val="-2"/>
        </w:rPr>
        <w:t>AI</w:t>
      </w:r>
      <w:r>
        <w:rPr>
          <w:rFonts w:ascii="Calibri" w:eastAsia="Calibri"/>
          <w:spacing w:val="20"/>
        </w:rPr>
        <w:t> </w:t>
      </w:r>
      <w:r>
        <w:rPr>
          <w:spacing w:val="-2"/>
        </w:rPr>
        <w:t>監測與記錄系統，追蹤產量、品質與成本節約等關鍵指標。在此階段，可開始將自產食材納入菜單設計，並進行針對性的行銷活動，宣傳企業的創新與永續實踐。</w:t>
      </w:r>
    </w:p>
    <w:p>
      <w:pPr>
        <w:pStyle w:val="ListParagraph"/>
        <w:numPr>
          <w:ilvl w:val="0"/>
          <w:numId w:val="2"/>
        </w:numPr>
        <w:tabs>
          <w:tab w:pos="1535" w:val="left" w:leader="none"/>
        </w:tabs>
        <w:spacing w:line="240" w:lineRule="auto" w:before="156" w:after="0"/>
        <w:ind w:left="1535" w:right="0" w:hanging="95"/>
        <w:jc w:val="left"/>
        <w:rPr>
          <w:sz w:val="22"/>
        </w:rPr>
      </w:pPr>
      <w:r>
        <w:rPr>
          <w:sz w:val="22"/>
        </w:rPr>
        <w:t>第三階段：全面推廣與商業模式複製（</w:t>
      </w:r>
      <w:r>
        <w:rPr>
          <w:rFonts w:ascii="Calibri" w:hAnsi="Calibri" w:eastAsia="Calibri"/>
          <w:sz w:val="22"/>
        </w:rPr>
        <w:t>10-18</w:t>
      </w:r>
      <w:r>
        <w:rPr>
          <w:rFonts w:ascii="Calibri" w:hAnsi="Calibri" w:eastAsia="Calibri"/>
          <w:spacing w:val="6"/>
          <w:sz w:val="22"/>
        </w:rPr>
        <w:t> </w:t>
      </w:r>
      <w:r>
        <w:rPr>
          <w:sz w:val="22"/>
        </w:rPr>
        <w:t>個月</w:t>
      </w:r>
      <w:r>
        <w:rPr>
          <w:spacing w:val="-10"/>
          <w:sz w:val="22"/>
        </w:rPr>
        <w:t>）</w:t>
      </w:r>
    </w:p>
    <w:p>
      <w:pPr>
        <w:pStyle w:val="BodyText"/>
        <w:spacing w:line="264" w:lineRule="auto" w:before="186"/>
        <w:ind w:right="1807" w:firstLine="49"/>
        <w:jc w:val="both"/>
      </w:pPr>
      <w:r>
        <w:rPr>
          <w:spacing w:val="-2"/>
        </w:rPr>
        <w:t>在證實概念的成功後，進行全面系統部署，以實現最大化的食材自產能力。此階段可探索跨部門整合，如將飯店自產食材用於餐廳、客房服務和活動餐飲，創造綜效。同時，總結</w:t>
      </w:r>
      <w:r>
        <w:rPr>
          <w:spacing w:val="-1"/>
        </w:rPr>
        <w:t>經驗和最佳實踐，發展標準化、可複製的商業模式，以便在其他分店或姊妹機構推廣。在</w:t>
      </w:r>
    </w:p>
    <w:p>
      <w:pPr>
        <w:pStyle w:val="BodyText"/>
        <w:spacing w:after="0" w:line="264" w:lineRule="auto"/>
        <w:jc w:val="both"/>
        <w:sectPr>
          <w:pgSz w:w="12240" w:h="15840"/>
          <w:pgMar w:top="1400" w:bottom="280" w:left="360" w:right="0"/>
        </w:sectPr>
      </w:pPr>
    </w:p>
    <w:p>
      <w:pPr>
        <w:pStyle w:val="BodyText"/>
        <w:spacing w:line="261" w:lineRule="auto" w:before="28"/>
        <w:ind w:right="1859"/>
      </w:pPr>
      <w:r>
        <w:rPr>
          <w:spacing w:val="-2"/>
        </w:rPr>
        <w:t>此階段，也可考慮與當地社區合作，將多餘的產量捐贈或有償提供給當地居民，進一步增強企業社會責任形象。</w:t>
      </w:r>
    </w:p>
    <w:p>
      <w:pPr>
        <w:pStyle w:val="BodyText"/>
        <w:spacing w:before="10"/>
        <w:ind w:left="0"/>
        <w:rPr>
          <w:sz w:val="13"/>
        </w:rPr>
      </w:pPr>
      <w:r>
        <w:rPr>
          <w:sz w:val="13"/>
        </w:rPr>
        <w:drawing>
          <wp:anchor distT="0" distB="0" distL="0" distR="0" allowOverlap="1" layoutInCell="1" locked="0" behindDoc="1" simplePos="0" relativeHeight="487594496">
            <wp:simplePos x="0" y="0"/>
            <wp:positionH relativeFrom="page">
              <wp:posOffset>981710</wp:posOffset>
            </wp:positionH>
            <wp:positionV relativeFrom="paragraph">
              <wp:posOffset>127961</wp:posOffset>
            </wp:positionV>
            <wp:extent cx="2848500" cy="1961388"/>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2848500" cy="1961388"/>
                    </a:xfrm>
                    <a:prstGeom prst="rect">
                      <a:avLst/>
                    </a:prstGeom>
                  </pic:spPr>
                </pic:pic>
              </a:graphicData>
            </a:graphic>
          </wp:anchor>
        </w:drawing>
      </w:r>
      <w:r>
        <w:rPr>
          <w:sz w:val="13"/>
        </w:rPr>
        <w:drawing>
          <wp:anchor distT="0" distB="0" distL="0" distR="0" allowOverlap="1" layoutInCell="1" locked="0" behindDoc="1" simplePos="0" relativeHeight="487595008">
            <wp:simplePos x="0" y="0"/>
            <wp:positionH relativeFrom="page">
              <wp:posOffset>3925570</wp:posOffset>
            </wp:positionH>
            <wp:positionV relativeFrom="paragraph">
              <wp:posOffset>129230</wp:posOffset>
            </wp:positionV>
            <wp:extent cx="3008962" cy="1953005"/>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9" cstate="print"/>
                    <a:stretch>
                      <a:fillRect/>
                    </a:stretch>
                  </pic:blipFill>
                  <pic:spPr>
                    <a:xfrm>
                      <a:off x="0" y="0"/>
                      <a:ext cx="3008962" cy="1953005"/>
                    </a:xfrm>
                    <a:prstGeom prst="rect">
                      <a:avLst/>
                    </a:prstGeom>
                  </pic:spPr>
                </pic:pic>
              </a:graphicData>
            </a:graphic>
          </wp:anchor>
        </w:drawing>
      </w:r>
    </w:p>
    <w:p>
      <w:pPr>
        <w:pStyle w:val="BodyText"/>
        <w:spacing w:before="188"/>
        <w:ind w:left="0"/>
      </w:pPr>
    </w:p>
    <w:p>
      <w:pPr>
        <w:pStyle w:val="BodyText"/>
      </w:pPr>
      <w:r>
        <w:rPr>
          <w:spacing w:val="-2"/>
        </w:rPr>
        <w:t>日常營運管理</w:t>
      </w:r>
    </w:p>
    <w:p>
      <w:pPr>
        <w:pStyle w:val="BodyText"/>
        <w:spacing w:before="188"/>
      </w:pPr>
      <w:r>
        <w:rPr>
          <w:rFonts w:ascii="Calibri" w:eastAsia="Calibri"/>
        </w:rPr>
        <w:t>Autopot</w:t>
      </w:r>
      <w:r>
        <w:rPr>
          <w:rFonts w:ascii="Calibri" w:eastAsia="Calibri"/>
          <w:spacing w:val="5"/>
        </w:rPr>
        <w:t> </w:t>
      </w:r>
      <w:r>
        <w:rPr>
          <w:spacing w:val="-1"/>
        </w:rPr>
        <w:t>系統的日常營運管理相對簡單，主要任務包括：</w:t>
      </w:r>
    </w:p>
    <w:p>
      <w:pPr>
        <w:pStyle w:val="ListParagraph"/>
        <w:numPr>
          <w:ilvl w:val="0"/>
          <w:numId w:val="2"/>
        </w:numPr>
        <w:tabs>
          <w:tab w:pos="1535" w:val="left" w:leader="none"/>
        </w:tabs>
        <w:spacing w:line="264" w:lineRule="auto" w:before="186" w:after="0"/>
        <w:ind w:left="1440" w:right="1903" w:firstLine="0"/>
        <w:jc w:val="left"/>
        <w:rPr>
          <w:sz w:val="22"/>
        </w:rPr>
      </w:pPr>
      <w:r>
        <w:rPr>
          <w:spacing w:val="-2"/>
          <w:sz w:val="22"/>
        </w:rPr>
        <w:t>系統監控與維護：每日檢查儲液桶液位，確保養液充足；每週檢查智慧閥 </w:t>
      </w:r>
      <w:r>
        <w:rPr>
          <w:rFonts w:ascii="Calibri" w:hAnsi="Calibri" w:eastAsia="Calibri"/>
          <w:sz w:val="22"/>
        </w:rPr>
        <w:t>Smart</w:t>
      </w:r>
      <w:r>
        <w:rPr>
          <w:rFonts w:ascii="Calibri" w:hAnsi="Calibri" w:eastAsia="Calibri"/>
          <w:spacing w:val="-13"/>
          <w:sz w:val="22"/>
        </w:rPr>
        <w:t> </w:t>
      </w:r>
      <w:r>
        <w:rPr>
          <w:rFonts w:ascii="Calibri" w:hAnsi="Calibri" w:eastAsia="Calibri"/>
          <w:sz w:val="22"/>
        </w:rPr>
        <w:t>Valve</w:t>
      </w:r>
      <w:r>
        <w:rPr>
          <w:rFonts w:ascii="Calibri" w:hAnsi="Calibri" w:eastAsia="Calibri"/>
          <w:spacing w:val="-12"/>
          <w:sz w:val="22"/>
        </w:rPr>
        <w:t> </w:t>
      </w:r>
      <w:r>
        <w:rPr>
          <w:sz w:val="22"/>
        </w:rPr>
        <w:t>正</w:t>
      </w:r>
      <w:r>
        <w:rPr>
          <w:spacing w:val="-2"/>
          <w:sz w:val="22"/>
        </w:rPr>
        <w:t>常運作；定期清潔系統和維護養液內容。</w:t>
      </w:r>
    </w:p>
    <w:p>
      <w:pPr>
        <w:pStyle w:val="ListParagraph"/>
        <w:numPr>
          <w:ilvl w:val="0"/>
          <w:numId w:val="2"/>
        </w:numPr>
        <w:tabs>
          <w:tab w:pos="1535" w:val="left" w:leader="none"/>
        </w:tabs>
        <w:spacing w:line="261" w:lineRule="auto" w:before="158" w:after="0"/>
        <w:ind w:left="1440" w:right="1982" w:firstLine="0"/>
        <w:jc w:val="left"/>
        <w:rPr>
          <w:sz w:val="22"/>
        </w:rPr>
      </w:pPr>
      <w:r>
        <w:rPr>
          <w:spacing w:val="-2"/>
          <w:sz w:val="22"/>
        </w:rPr>
        <w:t>種植作業：包括播種、移植、病蟲害管理、採收及產後處理。為確保最佳品質和持續供應，建議制定規律性的種植計劃，如每ㄧ兩週播種一批新作物，保證穩定輪調。</w:t>
      </w:r>
    </w:p>
    <w:p>
      <w:pPr>
        <w:pStyle w:val="ListParagraph"/>
        <w:numPr>
          <w:ilvl w:val="0"/>
          <w:numId w:val="2"/>
        </w:numPr>
        <w:tabs>
          <w:tab w:pos="1440" w:val="left" w:leader="none"/>
          <w:tab w:pos="1534" w:val="left" w:leader="none"/>
        </w:tabs>
        <w:spacing w:line="264" w:lineRule="auto" w:before="164" w:after="0"/>
        <w:ind w:left="1440" w:right="1827" w:hanging="1"/>
        <w:jc w:val="left"/>
        <w:rPr>
          <w:sz w:val="22"/>
        </w:rPr>
      </w:pPr>
      <w:r>
        <w:rPr>
          <w:spacing w:val="-3"/>
          <w:sz w:val="22"/>
        </w:rPr>
        <w:t>養液管理：定期檢測和調整養液的 </w:t>
      </w:r>
      <w:r>
        <w:rPr>
          <w:rFonts w:ascii="Calibri" w:hAnsi="Calibri" w:eastAsia="Calibri"/>
          <w:sz w:val="22"/>
        </w:rPr>
        <w:t>pH </w:t>
      </w:r>
      <w:r>
        <w:rPr>
          <w:spacing w:val="-12"/>
          <w:sz w:val="22"/>
        </w:rPr>
        <w:t>值和 </w:t>
      </w:r>
      <w:r>
        <w:rPr>
          <w:rFonts w:ascii="Calibri" w:hAnsi="Calibri" w:eastAsia="Calibri"/>
          <w:sz w:val="22"/>
        </w:rPr>
        <w:t>EC </w:t>
      </w:r>
      <w:r>
        <w:rPr>
          <w:sz w:val="22"/>
        </w:rPr>
        <w:t>值（養分濃度），確保植物獲得適當的生</w:t>
      </w:r>
      <w:r>
        <w:rPr>
          <w:spacing w:val="-13"/>
          <w:sz w:val="22"/>
        </w:rPr>
        <w:t>長條件。 </w:t>
      </w:r>
      <w:r>
        <w:rPr>
          <w:rFonts w:ascii="Calibri" w:hAnsi="Calibri" w:eastAsia="Calibri"/>
          <w:sz w:val="22"/>
        </w:rPr>
        <w:t>Autopot</w:t>
      </w:r>
      <w:r>
        <w:rPr>
          <w:rFonts w:ascii="Calibri" w:hAnsi="Calibri" w:eastAsia="Calibri"/>
          <w:spacing w:val="-13"/>
          <w:sz w:val="22"/>
        </w:rPr>
        <w:t> </w:t>
      </w:r>
      <w:r>
        <w:rPr>
          <w:sz w:val="22"/>
        </w:rPr>
        <w:t>系統對養液有特定要求，必須選擇不易沉澱的食品等級養液配方</w:t>
      </w:r>
      <w:r>
        <w:rPr>
          <w:rFonts w:ascii="Calibri" w:hAnsi="Calibri" w:eastAsia="Calibri"/>
          <w:sz w:val="22"/>
        </w:rPr>
        <w:t>(</w:t>
      </w:r>
      <w:r>
        <w:rPr>
          <w:sz w:val="22"/>
        </w:rPr>
        <w:t>例如星</w:t>
      </w:r>
      <w:r>
        <w:rPr>
          <w:spacing w:val="-2"/>
          <w:sz w:val="22"/>
        </w:rPr>
        <w:t>芝一號與二號的均衡配方組合</w:t>
      </w:r>
      <w:r>
        <w:rPr>
          <w:rFonts w:ascii="Calibri" w:hAnsi="Calibri" w:eastAsia="Calibri"/>
          <w:spacing w:val="-2"/>
          <w:sz w:val="22"/>
        </w:rPr>
        <w:t>)</w:t>
      </w:r>
      <w:r>
        <w:rPr>
          <w:spacing w:val="-2"/>
          <w:sz w:val="22"/>
        </w:rPr>
        <w:t>，以防止細微管路堵塞與吸收成份的純淨。</w:t>
      </w:r>
    </w:p>
    <w:p>
      <w:pPr>
        <w:pStyle w:val="ListParagraph"/>
        <w:numPr>
          <w:ilvl w:val="0"/>
          <w:numId w:val="2"/>
        </w:numPr>
        <w:tabs>
          <w:tab w:pos="1535" w:val="left" w:leader="none"/>
        </w:tabs>
        <w:spacing w:line="264" w:lineRule="auto" w:before="155" w:after="0"/>
        <w:ind w:left="1440" w:right="1981" w:firstLine="0"/>
        <w:jc w:val="left"/>
        <w:rPr>
          <w:sz w:val="22"/>
        </w:rPr>
      </w:pPr>
      <w:r>
        <w:rPr>
          <w:spacing w:val="-2"/>
          <w:sz w:val="22"/>
        </w:rPr>
        <w:t>數據記錄與分析：記錄產量、品質問題、客人回饋等數據，用於持續改善系統效能與成</w:t>
      </w:r>
      <w:r>
        <w:rPr>
          <w:spacing w:val="-4"/>
          <w:sz w:val="22"/>
        </w:rPr>
        <w:t>本效益。</w:t>
      </w:r>
    </w:p>
    <w:p>
      <w:pPr>
        <w:pStyle w:val="BodyText"/>
        <w:spacing w:line="264" w:lineRule="auto" w:before="158"/>
        <w:ind w:right="1857"/>
        <w:jc w:val="both"/>
      </w:pPr>
      <w:r>
        <w:rPr>
          <w:spacing w:val="-2"/>
        </w:rPr>
        <w:t>在人員配置方面，中小型系統可能只需指定現有員工兼職負責，如廚房助理或園藝維護人員；大型系統則可考慮僱用專職園藝師。無論哪種情況，都應提供全面培訓，確保員工具備成功營運系統所需的知識和技能。</w:t>
      </w:r>
    </w:p>
    <w:p>
      <w:pPr>
        <w:pStyle w:val="BodyText"/>
        <w:ind w:left="0"/>
      </w:pPr>
    </w:p>
    <w:p>
      <w:pPr>
        <w:pStyle w:val="BodyText"/>
        <w:spacing w:before="42"/>
        <w:ind w:left="0"/>
      </w:pPr>
    </w:p>
    <w:p>
      <w:pPr>
        <w:pStyle w:val="BodyText"/>
      </w:pPr>
      <w:r>
        <w:rPr>
          <w:spacing w:val="-2"/>
        </w:rPr>
        <w:t>績效評估與持續改進</w:t>
      </w:r>
    </w:p>
    <w:p>
      <w:pPr>
        <w:pStyle w:val="BodyText"/>
        <w:spacing w:before="188"/>
      </w:pPr>
      <w:r>
        <w:rPr/>
        <w:t>為評估專案成功度和指導持續改進，我們建議追蹤以下關鍵績效指標</w:t>
      </w:r>
      <w:r>
        <w:rPr>
          <w:rFonts w:ascii="Calibri" w:eastAsia="Calibri"/>
          <w:spacing w:val="-2"/>
        </w:rPr>
        <w:t>(KPI)</w:t>
      </w:r>
      <w:r>
        <w:rPr>
          <w:spacing w:val="-2"/>
        </w:rPr>
        <w:t>：</w:t>
      </w:r>
    </w:p>
    <w:p>
      <w:pPr>
        <w:pStyle w:val="ListParagraph"/>
        <w:numPr>
          <w:ilvl w:val="0"/>
          <w:numId w:val="2"/>
        </w:numPr>
        <w:tabs>
          <w:tab w:pos="1535" w:val="left" w:leader="none"/>
        </w:tabs>
        <w:spacing w:line="240" w:lineRule="auto" w:before="186" w:after="0"/>
        <w:ind w:left="1535" w:right="0" w:hanging="95"/>
        <w:jc w:val="left"/>
        <w:rPr>
          <w:sz w:val="22"/>
        </w:rPr>
      </w:pPr>
      <w:r>
        <w:rPr>
          <w:spacing w:val="-2"/>
          <w:sz w:val="22"/>
        </w:rPr>
        <w:t>生產指標：每月產量（重量</w:t>
      </w:r>
      <w:r>
        <w:rPr>
          <w:rFonts w:ascii="Calibri" w:hAnsi="Calibri" w:eastAsia="Calibri"/>
          <w:spacing w:val="-2"/>
          <w:sz w:val="22"/>
        </w:rPr>
        <w:t>/</w:t>
      </w:r>
      <w:r>
        <w:rPr>
          <w:spacing w:val="-2"/>
          <w:sz w:val="22"/>
        </w:rPr>
        <w:t>數量）</w:t>
      </w:r>
      <w:r>
        <w:rPr>
          <w:spacing w:val="-3"/>
          <w:sz w:val="22"/>
        </w:rPr>
        <w:t>、作物生長週期、單位面積產量、採收成功率</w:t>
      </w:r>
    </w:p>
    <w:p>
      <w:pPr>
        <w:pStyle w:val="ListParagraph"/>
        <w:numPr>
          <w:ilvl w:val="0"/>
          <w:numId w:val="2"/>
        </w:numPr>
        <w:tabs>
          <w:tab w:pos="1535" w:val="left" w:leader="none"/>
        </w:tabs>
        <w:spacing w:line="261" w:lineRule="auto" w:before="189" w:after="0"/>
        <w:ind w:left="1440" w:right="1981" w:firstLine="0"/>
        <w:jc w:val="left"/>
        <w:rPr>
          <w:sz w:val="22"/>
        </w:rPr>
      </w:pPr>
      <w:r>
        <w:rPr>
          <w:spacing w:val="-2"/>
          <w:sz w:val="22"/>
        </w:rPr>
        <w:t>品質指標：食材新鮮度（從採收到烹飪的時間）、感官評估（主廚和客人回饋）、營養</w:t>
      </w:r>
      <w:r>
        <w:rPr>
          <w:spacing w:val="-4"/>
          <w:sz w:val="22"/>
        </w:rPr>
        <w:t>成分分析</w:t>
      </w:r>
    </w:p>
    <w:p>
      <w:pPr>
        <w:pStyle w:val="ListParagraph"/>
        <w:numPr>
          <w:ilvl w:val="0"/>
          <w:numId w:val="2"/>
        </w:numPr>
        <w:tabs>
          <w:tab w:pos="1535" w:val="left" w:leader="none"/>
        </w:tabs>
        <w:spacing w:line="240" w:lineRule="auto" w:before="163" w:after="0"/>
        <w:ind w:left="1535" w:right="0" w:hanging="95"/>
        <w:jc w:val="left"/>
        <w:rPr>
          <w:sz w:val="22"/>
        </w:rPr>
      </w:pPr>
      <w:r>
        <w:rPr>
          <w:spacing w:val="-1"/>
          <w:sz w:val="22"/>
        </w:rPr>
        <w:t>經濟指標：食材成本節省、投資報酬率、行銷活動帶來的額外收入</w:t>
      </w:r>
    </w:p>
    <w:p>
      <w:pPr>
        <w:pStyle w:val="ListParagraph"/>
        <w:spacing w:after="0" w:line="240" w:lineRule="auto"/>
        <w:jc w:val="left"/>
        <w:rPr>
          <w:sz w:val="22"/>
        </w:rPr>
        <w:sectPr>
          <w:pgSz w:w="12240" w:h="15840"/>
          <w:pgMar w:top="1400" w:bottom="280" w:left="360" w:right="0"/>
        </w:sectPr>
      </w:pPr>
    </w:p>
    <w:p>
      <w:pPr>
        <w:pStyle w:val="ListParagraph"/>
        <w:numPr>
          <w:ilvl w:val="0"/>
          <w:numId w:val="2"/>
        </w:numPr>
        <w:tabs>
          <w:tab w:pos="1535" w:val="left" w:leader="none"/>
        </w:tabs>
        <w:spacing w:line="240" w:lineRule="auto" w:before="28" w:after="0"/>
        <w:ind w:left="1535" w:right="0" w:hanging="95"/>
        <w:jc w:val="left"/>
        <w:rPr>
          <w:sz w:val="22"/>
        </w:rPr>
      </w:pPr>
      <w:r>
        <w:rPr>
          <w:spacing w:val="-1"/>
          <w:sz w:val="22"/>
        </w:rPr>
        <w:t>環境指標：水資源節省量、碳足跡減少量、食物哩程減少量</w:t>
      </w:r>
    </w:p>
    <w:p>
      <w:pPr>
        <w:pStyle w:val="ListParagraph"/>
        <w:numPr>
          <w:ilvl w:val="0"/>
          <w:numId w:val="2"/>
        </w:numPr>
        <w:tabs>
          <w:tab w:pos="1535" w:val="left" w:leader="none"/>
        </w:tabs>
        <w:spacing w:line="240" w:lineRule="auto" w:before="186" w:after="0"/>
        <w:ind w:left="1535" w:right="0" w:hanging="95"/>
        <w:jc w:val="left"/>
        <w:rPr>
          <w:sz w:val="22"/>
        </w:rPr>
      </w:pPr>
      <w:r>
        <w:rPr>
          <w:spacing w:val="-1"/>
          <w:sz w:val="22"/>
        </w:rPr>
        <w:t>顧客參與指標：顧客認知度、滿意度、社群媒體分享與評價</w:t>
      </w:r>
    </w:p>
    <w:p>
      <w:pPr>
        <w:pStyle w:val="BodyText"/>
        <w:spacing w:line="261" w:lineRule="auto" w:before="188"/>
        <w:ind w:right="1859"/>
      </w:pPr>
      <w:r>
        <w:rPr>
          <w:spacing w:val="-2"/>
        </w:rPr>
        <w:t>定期分析這些數據，與基準情況和專案目標進行比較，識別改善機會並調整營運策略。同時，密切關注技術發展和行業最佳實踐，持續優化系統性能和整合深度。</w:t>
      </w:r>
    </w:p>
    <w:p>
      <w:pPr>
        <w:pStyle w:val="BodyText"/>
        <w:spacing w:before="1"/>
        <w:ind w:left="0"/>
        <w:rPr>
          <w:sz w:val="18"/>
        </w:rPr>
      </w:pPr>
      <w:r>
        <w:rPr>
          <w:sz w:val="18"/>
        </w:rPr>
        <w:drawing>
          <wp:anchor distT="0" distB="0" distL="0" distR="0" allowOverlap="1" layoutInCell="1" locked="0" behindDoc="1" simplePos="0" relativeHeight="487595520">
            <wp:simplePos x="0" y="0"/>
            <wp:positionH relativeFrom="page">
              <wp:posOffset>1019810</wp:posOffset>
            </wp:positionH>
            <wp:positionV relativeFrom="paragraph">
              <wp:posOffset>162409</wp:posOffset>
            </wp:positionV>
            <wp:extent cx="2955348" cy="2090927"/>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0" cstate="print"/>
                    <a:stretch>
                      <a:fillRect/>
                    </a:stretch>
                  </pic:blipFill>
                  <pic:spPr>
                    <a:xfrm>
                      <a:off x="0" y="0"/>
                      <a:ext cx="2955348" cy="2090927"/>
                    </a:xfrm>
                    <a:prstGeom prst="rect">
                      <a:avLst/>
                    </a:prstGeom>
                  </pic:spPr>
                </pic:pic>
              </a:graphicData>
            </a:graphic>
          </wp:anchor>
        </w:drawing>
      </w:r>
      <w:r>
        <w:rPr>
          <w:sz w:val="18"/>
        </w:rPr>
        <w:drawing>
          <wp:anchor distT="0" distB="0" distL="0" distR="0" allowOverlap="1" layoutInCell="1" locked="0" behindDoc="1" simplePos="0" relativeHeight="487596032">
            <wp:simplePos x="0" y="0"/>
            <wp:positionH relativeFrom="page">
              <wp:posOffset>4075430</wp:posOffset>
            </wp:positionH>
            <wp:positionV relativeFrom="paragraph">
              <wp:posOffset>162409</wp:posOffset>
            </wp:positionV>
            <wp:extent cx="2782104" cy="208626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1" cstate="print"/>
                    <a:stretch>
                      <a:fillRect/>
                    </a:stretch>
                  </pic:blipFill>
                  <pic:spPr>
                    <a:xfrm>
                      <a:off x="0" y="0"/>
                      <a:ext cx="2782104" cy="2086260"/>
                    </a:xfrm>
                    <a:prstGeom prst="rect">
                      <a:avLst/>
                    </a:prstGeom>
                  </pic:spPr>
                </pic:pic>
              </a:graphicData>
            </a:graphic>
          </wp:anchor>
        </w:drawing>
      </w:r>
    </w:p>
    <w:p>
      <w:pPr>
        <w:pStyle w:val="BodyText"/>
        <w:ind w:left="0"/>
      </w:pPr>
    </w:p>
    <w:p>
      <w:pPr>
        <w:pStyle w:val="BodyText"/>
        <w:spacing w:before="26"/>
        <w:ind w:left="0"/>
      </w:pPr>
    </w:p>
    <w:p>
      <w:pPr>
        <w:pStyle w:val="Heading1"/>
        <w:numPr>
          <w:ilvl w:val="0"/>
          <w:numId w:val="1"/>
        </w:numPr>
        <w:tabs>
          <w:tab w:pos="1601" w:val="left" w:leader="none"/>
        </w:tabs>
        <w:spacing w:line="240" w:lineRule="auto" w:before="1" w:after="0"/>
        <w:ind w:left="1601" w:right="0" w:hanging="161"/>
        <w:jc w:val="left"/>
      </w:pPr>
      <w:r>
        <w:rPr>
          <w:color w:val="000000"/>
          <w:spacing w:val="-2"/>
          <w:shd w:fill="D9D9D9" w:color="auto" w:val="clear"/>
        </w:rPr>
        <w:t>商業模式與財務規劃</w:t>
      </w:r>
    </w:p>
    <w:p>
      <w:pPr>
        <w:pStyle w:val="BodyText"/>
        <w:spacing w:before="181"/>
        <w:ind w:left="0"/>
        <w:rPr>
          <w:rFonts w:ascii="Microsoft JhengHei"/>
          <w:b/>
        </w:rPr>
      </w:pPr>
    </w:p>
    <w:p>
      <w:pPr>
        <w:pStyle w:val="BodyText"/>
      </w:pPr>
      <w:r>
        <w:rPr>
          <w:spacing w:val="-2"/>
        </w:rPr>
        <w:t>收入來源與價值主張</w:t>
      </w:r>
    </w:p>
    <w:p>
      <w:pPr>
        <w:pStyle w:val="BodyText"/>
        <w:spacing w:line="261" w:lineRule="auto" w:before="188"/>
        <w:ind w:right="1887"/>
      </w:pPr>
      <w:r>
        <w:rPr>
          <w:spacing w:val="-27"/>
        </w:rPr>
        <w:t>將 </w:t>
      </w:r>
      <w:r>
        <w:rPr>
          <w:rFonts w:ascii="Calibri" w:eastAsia="Calibri"/>
        </w:rPr>
        <w:t>Autopot</w:t>
      </w:r>
      <w:r>
        <w:rPr>
          <w:rFonts w:ascii="Calibri" w:eastAsia="Calibri"/>
          <w:spacing w:val="-13"/>
        </w:rPr>
        <w:t> </w:t>
      </w:r>
      <w:r>
        <w:rPr/>
        <w:t>系統整合到餐飲旅宿業可創造多重價值來源，包括直接經濟效益和間接價值提</w:t>
      </w:r>
      <w:r>
        <w:rPr>
          <w:spacing w:val="-6"/>
        </w:rPr>
        <w:t>升：</w:t>
      </w:r>
    </w:p>
    <w:p>
      <w:pPr>
        <w:pStyle w:val="ListParagraph"/>
        <w:numPr>
          <w:ilvl w:val="0"/>
          <w:numId w:val="2"/>
        </w:numPr>
        <w:tabs>
          <w:tab w:pos="1535" w:val="left" w:leader="none"/>
        </w:tabs>
        <w:spacing w:line="264" w:lineRule="auto" w:before="164" w:after="0"/>
        <w:ind w:left="1440" w:right="1855" w:firstLine="0"/>
        <w:jc w:val="left"/>
        <w:rPr>
          <w:sz w:val="22"/>
        </w:rPr>
      </w:pPr>
      <w:r>
        <w:rPr>
          <w:spacing w:val="-2"/>
          <w:sz w:val="22"/>
        </w:rPr>
        <w:t>食材成本節約：透過自產食材，企業可大幅減少採購成本。根據估算，一個中等規模的</w:t>
      </w:r>
      <w:r>
        <w:rPr>
          <w:spacing w:val="-5"/>
          <w:sz w:val="22"/>
        </w:rPr>
        <w:t>屋頂菜園每年可生產超過 </w:t>
      </w:r>
      <w:r>
        <w:rPr>
          <w:rFonts w:ascii="Calibri" w:hAnsi="Calibri" w:eastAsia="Calibri"/>
          <w:sz w:val="22"/>
        </w:rPr>
        <w:t>300</w:t>
      </w:r>
      <w:r>
        <w:rPr>
          <w:rFonts w:ascii="Calibri" w:hAnsi="Calibri" w:eastAsia="Calibri"/>
          <w:spacing w:val="-13"/>
          <w:sz w:val="22"/>
        </w:rPr>
        <w:t> </w:t>
      </w:r>
      <w:r>
        <w:rPr>
          <w:spacing w:val="-4"/>
          <w:sz w:val="22"/>
        </w:rPr>
        <w:t>公斤的新鮮香草和蔬菜，取代約 </w:t>
      </w:r>
      <w:r>
        <w:rPr>
          <w:rFonts w:ascii="Calibri" w:hAnsi="Calibri" w:eastAsia="Calibri"/>
          <w:sz w:val="22"/>
        </w:rPr>
        <w:t>30%</w:t>
      </w:r>
      <w:r>
        <w:rPr>
          <w:sz w:val="22"/>
        </w:rPr>
        <w:t>的相關採購需求，直接</w:t>
      </w:r>
      <w:r>
        <w:rPr>
          <w:spacing w:val="-2"/>
          <w:sz w:val="22"/>
        </w:rPr>
        <w:t>節省成本可觀。</w:t>
      </w:r>
    </w:p>
    <w:p>
      <w:pPr>
        <w:pStyle w:val="ListParagraph"/>
        <w:numPr>
          <w:ilvl w:val="0"/>
          <w:numId w:val="2"/>
        </w:numPr>
        <w:tabs>
          <w:tab w:pos="1535" w:val="left" w:leader="none"/>
        </w:tabs>
        <w:spacing w:line="261" w:lineRule="auto" w:before="155" w:after="0"/>
        <w:ind w:left="1440" w:right="2181" w:firstLine="0"/>
        <w:jc w:val="left"/>
        <w:rPr>
          <w:sz w:val="22"/>
        </w:rPr>
      </w:pPr>
      <w:r>
        <w:rPr>
          <w:spacing w:val="-2"/>
          <w:sz w:val="22"/>
        </w:rPr>
        <w:t>餐飲溢價能力：使用</w:t>
      </w:r>
      <w:r>
        <w:rPr>
          <w:rFonts w:ascii="Calibri" w:hAnsi="Calibri" w:eastAsia="Calibri"/>
          <w:spacing w:val="-2"/>
          <w:sz w:val="22"/>
        </w:rPr>
        <w:t>"</w:t>
      </w:r>
      <w:r>
        <w:rPr>
          <w:spacing w:val="-2"/>
          <w:sz w:val="22"/>
        </w:rPr>
        <w:t>現場採摘</w:t>
      </w:r>
      <w:r>
        <w:rPr>
          <w:rFonts w:ascii="Calibri" w:hAnsi="Calibri" w:eastAsia="Calibri"/>
          <w:spacing w:val="-2"/>
          <w:sz w:val="22"/>
        </w:rPr>
        <w:t>"</w:t>
      </w:r>
      <w:r>
        <w:rPr>
          <w:spacing w:val="-4"/>
          <w:sz w:val="22"/>
        </w:rPr>
        <w:t>食材的菜色可設定更高價格，通常可獲得 </w:t>
      </w:r>
      <w:r>
        <w:rPr>
          <w:rFonts w:ascii="Calibri" w:hAnsi="Calibri" w:eastAsia="Calibri"/>
          <w:spacing w:val="-2"/>
          <w:sz w:val="22"/>
        </w:rPr>
        <w:t>15-25%</w:t>
      </w:r>
      <w:r>
        <w:rPr>
          <w:spacing w:val="-2"/>
          <w:sz w:val="22"/>
        </w:rPr>
        <w:t>的溢價。這種</w:t>
      </w:r>
      <w:r>
        <w:rPr>
          <w:rFonts w:ascii="Calibri" w:hAnsi="Calibri" w:eastAsia="Calibri"/>
          <w:spacing w:val="-2"/>
          <w:sz w:val="22"/>
        </w:rPr>
        <w:t>"</w:t>
      </w:r>
      <w:r>
        <w:rPr>
          <w:spacing w:val="-2"/>
          <w:sz w:val="22"/>
        </w:rPr>
        <w:t>從農場到餐桌</w:t>
      </w:r>
      <w:r>
        <w:rPr>
          <w:rFonts w:ascii="Calibri" w:hAnsi="Calibri" w:eastAsia="Calibri"/>
          <w:spacing w:val="-2"/>
          <w:sz w:val="22"/>
        </w:rPr>
        <w:t>"</w:t>
      </w:r>
      <w:r>
        <w:rPr>
          <w:spacing w:val="-2"/>
          <w:sz w:val="22"/>
        </w:rPr>
        <w:t>的即時性為菜餚增添了獨特賣點，提升整體客單價。</w:t>
      </w:r>
    </w:p>
    <w:p>
      <w:pPr>
        <w:pStyle w:val="ListParagraph"/>
        <w:numPr>
          <w:ilvl w:val="0"/>
          <w:numId w:val="2"/>
        </w:numPr>
        <w:tabs>
          <w:tab w:pos="1535" w:val="left" w:leader="none"/>
        </w:tabs>
        <w:spacing w:line="264" w:lineRule="auto" w:before="164" w:after="0"/>
        <w:ind w:left="1440" w:right="1861" w:firstLine="0"/>
        <w:jc w:val="left"/>
        <w:rPr>
          <w:sz w:val="22"/>
        </w:rPr>
      </w:pPr>
      <w:r>
        <w:rPr>
          <w:spacing w:val="-2"/>
          <w:sz w:val="22"/>
        </w:rPr>
        <w:t>綠色認證與品牌價值：透過展示永續實踐，企業可申請各種綠色認證，強化環保品牌形</w:t>
      </w:r>
      <w:r>
        <w:rPr>
          <w:spacing w:val="-4"/>
          <w:sz w:val="22"/>
        </w:rPr>
        <w:t>象，吸引有環境意識的客戶群。根據產業調查，超過 </w:t>
      </w:r>
      <w:r>
        <w:rPr>
          <w:rFonts w:ascii="Calibri" w:hAnsi="Calibri" w:eastAsia="Calibri"/>
          <w:spacing w:val="-2"/>
          <w:sz w:val="22"/>
        </w:rPr>
        <w:t>60%</w:t>
      </w:r>
      <w:r>
        <w:rPr>
          <w:spacing w:val="-2"/>
          <w:sz w:val="22"/>
        </w:rPr>
        <w:t>的消費者更傾向於選擇具有強烈永續承諾的飯店和餐廳。</w:t>
      </w:r>
    </w:p>
    <w:p>
      <w:pPr>
        <w:pStyle w:val="ListParagraph"/>
        <w:numPr>
          <w:ilvl w:val="0"/>
          <w:numId w:val="2"/>
        </w:numPr>
        <w:tabs>
          <w:tab w:pos="1534" w:val="left" w:leader="none"/>
        </w:tabs>
        <w:spacing w:line="264" w:lineRule="auto" w:before="155" w:after="0"/>
        <w:ind w:left="1439" w:right="1846" w:firstLine="0"/>
        <w:jc w:val="both"/>
        <w:rPr>
          <w:sz w:val="22"/>
        </w:rPr>
      </w:pPr>
      <w:r>
        <w:rPr>
          <w:sz w:val="22"/>
        </w:rPr>
        <w:t>體驗經濟與顧客忠誠：</w:t>
      </w:r>
      <w:r>
        <w:rPr>
          <w:rFonts w:ascii="Calibri" w:hAnsi="Calibri" w:eastAsia="Calibri"/>
          <w:sz w:val="22"/>
        </w:rPr>
        <w:t>Autopot</w:t>
      </w:r>
      <w:r>
        <w:rPr>
          <w:rFonts w:ascii="Calibri" w:hAnsi="Calibri" w:eastAsia="Calibri"/>
          <w:spacing w:val="-13"/>
          <w:sz w:val="22"/>
        </w:rPr>
        <w:t> </w:t>
      </w:r>
      <w:r>
        <w:rPr>
          <w:sz w:val="22"/>
        </w:rPr>
        <w:t>系統本身可作為互動景點，吸引客人參觀、參與甚至親手</w:t>
      </w:r>
      <w:r>
        <w:rPr>
          <w:spacing w:val="-2"/>
          <w:sz w:val="22"/>
        </w:rPr>
        <w:t>採摘，創造難忘體驗，提高顧客滿意度與重複消費率。例如，飯店可舉辦</w:t>
      </w:r>
      <w:r>
        <w:rPr>
          <w:rFonts w:ascii="Calibri" w:hAnsi="Calibri" w:eastAsia="Calibri"/>
          <w:spacing w:val="-2"/>
          <w:sz w:val="22"/>
        </w:rPr>
        <w:t>"</w:t>
      </w:r>
      <w:r>
        <w:rPr>
          <w:spacing w:val="-2"/>
          <w:sz w:val="22"/>
        </w:rPr>
        <w:t>香草採摘體驗</w:t>
      </w:r>
      <w:r>
        <w:rPr>
          <w:rFonts w:ascii="Calibri" w:hAnsi="Calibri" w:eastAsia="Calibri"/>
          <w:spacing w:val="-2"/>
          <w:sz w:val="22"/>
        </w:rPr>
        <w:t>"</w:t>
      </w:r>
      <w:r>
        <w:rPr>
          <w:spacing w:val="-2"/>
          <w:sz w:val="22"/>
        </w:rPr>
        <w:t>或</w:t>
      </w:r>
      <w:r>
        <w:rPr>
          <w:rFonts w:ascii="Calibri" w:hAnsi="Calibri" w:eastAsia="Calibri"/>
          <w:spacing w:val="-2"/>
          <w:sz w:val="22"/>
        </w:rPr>
        <w:t>"</w:t>
      </w:r>
      <w:r>
        <w:rPr>
          <w:spacing w:val="-2"/>
          <w:sz w:val="22"/>
        </w:rPr>
        <w:t>垂直農場導覽</w:t>
      </w:r>
      <w:r>
        <w:rPr>
          <w:rFonts w:ascii="Calibri" w:hAnsi="Calibri" w:eastAsia="Calibri"/>
          <w:spacing w:val="-2"/>
          <w:sz w:val="22"/>
        </w:rPr>
        <w:t>"</w:t>
      </w:r>
      <w:r>
        <w:rPr>
          <w:spacing w:val="-2"/>
          <w:sz w:val="22"/>
        </w:rPr>
        <w:t>活動，增加服務多樣性。</w:t>
      </w:r>
    </w:p>
    <w:p>
      <w:pPr>
        <w:pStyle w:val="ListParagraph"/>
        <w:spacing w:after="0" w:line="264" w:lineRule="auto"/>
        <w:jc w:val="both"/>
        <w:rPr>
          <w:sz w:val="22"/>
        </w:rPr>
        <w:sectPr>
          <w:pgSz w:w="12240" w:h="15840"/>
          <w:pgMar w:top="1400" w:bottom="280" w:left="360" w:right="0"/>
        </w:sectPr>
      </w:pPr>
    </w:p>
    <w:p>
      <w:pPr>
        <w:pStyle w:val="BodyText"/>
        <w:spacing w:before="28"/>
      </w:pPr>
      <w:r>
        <w:rPr>
          <w:spacing w:val="-2"/>
        </w:rPr>
        <w:t>成本結構與投資分析</w:t>
      </w:r>
    </w:p>
    <w:p>
      <w:pPr>
        <w:pStyle w:val="BodyText"/>
        <w:spacing w:before="186"/>
      </w:pPr>
      <w:r>
        <w:rPr>
          <w:spacing w:val="-18"/>
        </w:rPr>
        <w:t>實施 </w:t>
      </w:r>
      <w:r>
        <w:rPr>
          <w:rFonts w:ascii="Calibri" w:eastAsia="Calibri"/>
        </w:rPr>
        <w:t>Autopot</w:t>
      </w:r>
      <w:r>
        <w:rPr>
          <w:rFonts w:ascii="Calibri" w:eastAsia="Calibri"/>
          <w:spacing w:val="3"/>
        </w:rPr>
        <w:t> </w:t>
      </w:r>
      <w:r>
        <w:rPr>
          <w:spacing w:val="-1"/>
        </w:rPr>
        <w:t>系統的主要成本構成包括：</w:t>
      </w:r>
    </w:p>
    <w:p>
      <w:pPr>
        <w:pStyle w:val="ListParagraph"/>
        <w:numPr>
          <w:ilvl w:val="0"/>
          <w:numId w:val="2"/>
        </w:numPr>
        <w:tabs>
          <w:tab w:pos="1535" w:val="left" w:leader="none"/>
        </w:tabs>
        <w:spacing w:line="264" w:lineRule="auto" w:before="188" w:after="0"/>
        <w:ind w:left="1440" w:right="1859" w:firstLine="0"/>
        <w:jc w:val="left"/>
        <w:rPr>
          <w:sz w:val="22"/>
        </w:rPr>
      </w:pPr>
      <w:r>
        <w:rPr>
          <w:spacing w:val="-2"/>
          <w:sz w:val="22"/>
        </w:rPr>
        <w:t>初始投資成本：包括種植設施、系統、管路系統、儲液桶、支架和安裝管路材料等硬體採購。根據系統規模大小和設計，初始投資可從數萬元到數百萬元不等。為降低初始投資壓力，可考慮分階段部署，或選擇融資租賃模式。</w:t>
      </w:r>
    </w:p>
    <w:p>
      <w:pPr>
        <w:pStyle w:val="ListParagraph"/>
        <w:numPr>
          <w:ilvl w:val="0"/>
          <w:numId w:val="2"/>
        </w:numPr>
        <w:tabs>
          <w:tab w:pos="1535" w:val="left" w:leader="none"/>
        </w:tabs>
        <w:spacing w:line="240" w:lineRule="auto" w:before="156" w:after="0"/>
        <w:ind w:left="1535" w:right="0" w:hanging="95"/>
        <w:jc w:val="left"/>
        <w:rPr>
          <w:sz w:val="22"/>
        </w:rPr>
      </w:pPr>
      <w:r>
        <w:rPr>
          <w:spacing w:val="-1"/>
          <w:sz w:val="22"/>
        </w:rPr>
        <w:t>營運成本：主要包括種苗、養液、基質等消耗品補充，以及人工維護和潛在能源費用</w:t>
      </w:r>
    </w:p>
    <w:p>
      <w:pPr>
        <w:pStyle w:val="BodyText"/>
        <w:spacing w:line="261" w:lineRule="auto" w:before="28"/>
        <w:ind w:right="1944"/>
      </w:pPr>
      <w:r>
        <w:rPr/>
        <w:t>（如需要補充照明）。值得注意的是，</w:t>
      </w:r>
      <w:r>
        <w:rPr>
          <w:rFonts w:ascii="Calibri" w:eastAsia="Calibri"/>
        </w:rPr>
        <w:t>Autopot</w:t>
      </w:r>
      <w:r>
        <w:rPr>
          <w:rFonts w:ascii="Calibri" w:eastAsia="Calibri"/>
          <w:spacing w:val="-13"/>
        </w:rPr>
        <w:t> </w:t>
      </w:r>
      <w:r>
        <w:rPr/>
        <w:t>系統無需電力灌溉，本身就避免了傳統水</w:t>
      </w:r>
      <w:r>
        <w:rPr>
          <w:spacing w:val="-2"/>
        </w:rPr>
        <w:t>耕農場中的主要能耗成本。</w:t>
      </w:r>
    </w:p>
    <w:p>
      <w:pPr>
        <w:pStyle w:val="BodyText"/>
        <w:spacing w:before="2"/>
        <w:ind w:left="0"/>
        <w:rPr>
          <w:sz w:val="14"/>
        </w:rPr>
      </w:pPr>
      <w:r>
        <w:rPr>
          <w:sz w:val="14"/>
        </w:rPr>
        <w:drawing>
          <wp:anchor distT="0" distB="0" distL="0" distR="0" allowOverlap="1" layoutInCell="1" locked="0" behindDoc="1" simplePos="0" relativeHeight="487596544">
            <wp:simplePos x="0" y="0"/>
            <wp:positionH relativeFrom="page">
              <wp:posOffset>977900</wp:posOffset>
            </wp:positionH>
            <wp:positionV relativeFrom="paragraph">
              <wp:posOffset>130619</wp:posOffset>
            </wp:positionV>
            <wp:extent cx="2868186" cy="2208656"/>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2" cstate="print"/>
                    <a:stretch>
                      <a:fillRect/>
                    </a:stretch>
                  </pic:blipFill>
                  <pic:spPr>
                    <a:xfrm>
                      <a:off x="0" y="0"/>
                      <a:ext cx="2868186" cy="2208656"/>
                    </a:xfrm>
                    <a:prstGeom prst="rect">
                      <a:avLst/>
                    </a:prstGeom>
                  </pic:spPr>
                </pic:pic>
              </a:graphicData>
            </a:graphic>
          </wp:anchor>
        </w:drawing>
      </w:r>
      <w:r>
        <w:rPr>
          <w:sz w:val="14"/>
        </w:rPr>
        <w:drawing>
          <wp:anchor distT="0" distB="0" distL="0" distR="0" allowOverlap="1" layoutInCell="1" locked="0" behindDoc="1" simplePos="0" relativeHeight="487597056">
            <wp:simplePos x="0" y="0"/>
            <wp:positionH relativeFrom="page">
              <wp:posOffset>3938270</wp:posOffset>
            </wp:positionH>
            <wp:positionV relativeFrom="paragraph">
              <wp:posOffset>130619</wp:posOffset>
            </wp:positionV>
            <wp:extent cx="3231420" cy="2217039"/>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3" cstate="print"/>
                    <a:stretch>
                      <a:fillRect/>
                    </a:stretch>
                  </pic:blipFill>
                  <pic:spPr>
                    <a:xfrm>
                      <a:off x="0" y="0"/>
                      <a:ext cx="3231420" cy="2217039"/>
                    </a:xfrm>
                    <a:prstGeom prst="rect">
                      <a:avLst/>
                    </a:prstGeom>
                  </pic:spPr>
                </pic:pic>
              </a:graphicData>
            </a:graphic>
          </wp:anchor>
        </w:drawing>
      </w:r>
    </w:p>
    <w:p>
      <w:pPr>
        <w:pStyle w:val="BodyText"/>
        <w:spacing w:before="231"/>
        <w:ind w:left="0"/>
      </w:pPr>
    </w:p>
    <w:p>
      <w:pPr>
        <w:pStyle w:val="BodyText"/>
        <w:rPr>
          <w:rFonts w:ascii="Calibri" w:eastAsia="Calibri"/>
        </w:rPr>
      </w:pPr>
      <w:r>
        <w:rPr>
          <w:spacing w:val="-13"/>
        </w:rPr>
        <w:t>項目 金額</w:t>
      </w:r>
      <w:r>
        <w:rPr>
          <w:rFonts w:ascii="Calibri" w:eastAsia="Calibri"/>
        </w:rPr>
        <w:t>(</w:t>
      </w:r>
      <w:r>
        <w:rPr/>
        <w:t>元</w:t>
      </w:r>
      <w:r>
        <w:rPr>
          <w:rFonts w:ascii="Calibri" w:eastAsia="Calibri"/>
          <w:spacing w:val="-2"/>
        </w:rPr>
        <w:t>) </w:t>
      </w:r>
      <w:r>
        <w:rPr>
          <w:spacing w:val="-21"/>
        </w:rPr>
        <w:t>備註 </w:t>
      </w:r>
      <w:r>
        <w:rPr>
          <w:rFonts w:ascii="Calibri" w:eastAsia="Calibri"/>
        </w:rPr>
        <w:t>(</w:t>
      </w:r>
      <w:r>
        <w:rPr>
          <w:spacing w:val="-11"/>
        </w:rPr>
        <w:t>暫以澳幣 </w:t>
      </w:r>
      <w:r>
        <w:rPr>
          <w:rFonts w:ascii="Calibri" w:eastAsia="Calibri"/>
        </w:rPr>
        <w:t>AU$ </w:t>
      </w:r>
      <w:r>
        <w:rPr/>
        <w:t>計算</w:t>
      </w:r>
      <w:r>
        <w:rPr>
          <w:rFonts w:ascii="Calibri" w:eastAsia="Calibri"/>
          <w:spacing w:val="-10"/>
        </w:rPr>
        <w:t>)</w:t>
      </w:r>
    </w:p>
    <w:p>
      <w:pPr>
        <w:pStyle w:val="BodyText"/>
        <w:spacing w:line="400" w:lineRule="auto" w:before="187"/>
        <w:ind w:right="6206"/>
      </w:pPr>
      <w:r>
        <w:rPr>
          <w:spacing w:val="-14"/>
        </w:rPr>
        <w:t>初始投資 </w:t>
      </w:r>
      <w:r>
        <w:rPr>
          <w:rFonts w:ascii="Calibri" w:eastAsia="Calibri"/>
          <w:spacing w:val="-2"/>
        </w:rPr>
        <w:t>45,000</w:t>
      </w:r>
      <w:r>
        <w:rPr>
          <w:spacing w:val="-2"/>
        </w:rPr>
        <w:t>～</w:t>
      </w:r>
      <w:r>
        <w:rPr>
          <w:spacing w:val="-10"/>
        </w:rPr>
        <w:t> 包括所有硬體和安裝費用</w:t>
      </w:r>
      <w:r>
        <w:rPr>
          <w:spacing w:val="-6"/>
        </w:rPr>
        <w:t>年營運成本 </w:t>
      </w:r>
      <w:r>
        <w:rPr>
          <w:rFonts w:ascii="Calibri" w:eastAsia="Calibri"/>
        </w:rPr>
        <w:t>8,000</w:t>
      </w:r>
      <w:r>
        <w:rPr/>
        <w:t>～</w:t>
      </w:r>
      <w:r>
        <w:rPr>
          <w:spacing w:val="-6"/>
        </w:rPr>
        <w:t> 種苗、養液、維修等</w:t>
      </w:r>
    </w:p>
    <w:p>
      <w:pPr>
        <w:pStyle w:val="BodyText"/>
        <w:spacing w:line="278" w:lineRule="exact"/>
      </w:pPr>
      <w:r>
        <w:rPr>
          <w:spacing w:val="-11"/>
        </w:rPr>
        <w:t>年直接節省 </w:t>
      </w:r>
      <w:r>
        <w:rPr>
          <w:rFonts w:ascii="Calibri" w:eastAsia="Calibri"/>
        </w:rPr>
        <w:t>25,000</w:t>
      </w:r>
      <w:r>
        <w:rPr>
          <w:rFonts w:ascii="Calibri" w:eastAsia="Calibri"/>
          <w:spacing w:val="-3"/>
        </w:rPr>
        <w:t> </w:t>
      </w:r>
      <w:r>
        <w:rPr/>
        <w:t>～</w:t>
      </w:r>
      <w:r>
        <w:rPr>
          <w:spacing w:val="-2"/>
        </w:rPr>
        <w:t>替代採購的食材價值</w:t>
      </w:r>
    </w:p>
    <w:p>
      <w:pPr>
        <w:pStyle w:val="BodyText"/>
        <w:spacing w:before="188"/>
      </w:pPr>
      <w:r>
        <w:rPr>
          <w:spacing w:val="-11"/>
        </w:rPr>
        <w:t>年間接收益 </w:t>
      </w:r>
      <w:r>
        <w:rPr>
          <w:rFonts w:ascii="Calibri" w:eastAsia="Calibri"/>
        </w:rPr>
        <w:t>15,000</w:t>
      </w:r>
      <w:r>
        <w:rPr>
          <w:rFonts w:ascii="Calibri" w:eastAsia="Calibri"/>
          <w:spacing w:val="-3"/>
        </w:rPr>
        <w:t> </w:t>
      </w:r>
      <w:r>
        <w:rPr/>
        <w:t>～</w:t>
      </w:r>
      <w:r>
        <w:rPr>
          <w:spacing w:val="-1"/>
        </w:rPr>
        <w:t>溢價菜色和顧客吸引帶來的額外收入</w:t>
      </w:r>
    </w:p>
    <w:p>
      <w:pPr>
        <w:pStyle w:val="BodyText"/>
        <w:spacing w:before="186"/>
        <w:rPr>
          <w:rFonts w:ascii="Calibri" w:eastAsia="Calibri"/>
        </w:rPr>
      </w:pPr>
      <w:r>
        <w:rPr>
          <w:spacing w:val="-16"/>
        </w:rPr>
        <w:t>投資回收期 約 </w:t>
      </w:r>
      <w:r>
        <w:rPr>
          <w:rFonts w:ascii="Calibri" w:eastAsia="Calibri"/>
        </w:rPr>
        <w:t>1</w:t>
      </w:r>
      <w:r>
        <w:rPr/>
        <w:t>～</w:t>
      </w:r>
      <w:r>
        <w:rPr>
          <w:rFonts w:ascii="Calibri" w:eastAsia="Calibri"/>
        </w:rPr>
        <w:t>2</w:t>
      </w:r>
      <w:r>
        <w:rPr>
          <w:rFonts w:ascii="Calibri" w:eastAsia="Calibri"/>
          <w:spacing w:val="5"/>
        </w:rPr>
        <w:t> </w:t>
      </w:r>
      <w:r>
        <w:rPr>
          <w:spacing w:val="-11"/>
        </w:rPr>
        <w:t>年 初始投資</w:t>
      </w:r>
      <w:r>
        <w:rPr>
          <w:rFonts w:ascii="Calibri" w:eastAsia="Calibri"/>
          <w:spacing w:val="-1"/>
        </w:rPr>
        <w:t>/ (</w:t>
      </w:r>
      <w:r>
        <w:rPr/>
        <w:t>年直接節省</w:t>
      </w:r>
      <w:r>
        <w:rPr>
          <w:rFonts w:ascii="Calibri" w:eastAsia="Calibri"/>
        </w:rPr>
        <w:t>+</w:t>
      </w:r>
      <w:r>
        <w:rPr/>
        <w:t>年間接收益</w:t>
      </w:r>
      <w:r>
        <w:rPr>
          <w:rFonts w:ascii="Calibri" w:eastAsia="Calibri"/>
        </w:rPr>
        <w:t>-</w:t>
      </w:r>
      <w:r>
        <w:rPr/>
        <w:t>年營運成本</w:t>
      </w:r>
      <w:r>
        <w:rPr>
          <w:rFonts w:ascii="Calibri" w:eastAsia="Calibri"/>
          <w:spacing w:val="-10"/>
        </w:rPr>
        <w:t>)</w:t>
      </w:r>
    </w:p>
    <w:p>
      <w:pPr>
        <w:pStyle w:val="BodyText"/>
        <w:ind w:left="0"/>
        <w:rPr>
          <w:rFonts w:ascii="Calibri"/>
        </w:rPr>
      </w:pPr>
    </w:p>
    <w:p>
      <w:pPr>
        <w:pStyle w:val="BodyText"/>
        <w:spacing w:before="100"/>
        <w:ind w:left="0"/>
        <w:rPr>
          <w:rFonts w:ascii="Calibri"/>
        </w:rPr>
      </w:pPr>
    </w:p>
    <w:p>
      <w:pPr>
        <w:pStyle w:val="BodyText"/>
        <w:spacing w:before="1"/>
      </w:pPr>
      <w:r>
        <w:rPr>
          <w:spacing w:val="-1"/>
        </w:rPr>
        <w:t>財務預測與投資報酬率</w:t>
      </w:r>
    </w:p>
    <w:p>
      <w:pPr>
        <w:pStyle w:val="BodyText"/>
        <w:spacing w:line="264" w:lineRule="auto" w:before="186"/>
        <w:ind w:right="1961"/>
        <w:rPr>
          <w:rFonts w:ascii="Calibri" w:eastAsia="Calibri"/>
        </w:rPr>
      </w:pPr>
      <w:r>
        <w:rPr>
          <w:spacing w:val="-4"/>
        </w:rPr>
        <w:t>基於案例研究和行業數據，合理設計的 </w:t>
      </w:r>
      <w:r>
        <w:rPr>
          <w:rFonts w:ascii="Calibri" w:eastAsia="Calibri"/>
        </w:rPr>
        <w:t>Autopot </w:t>
      </w:r>
      <w:r>
        <w:rPr>
          <w:spacing w:val="-9"/>
        </w:rPr>
        <w:t>系統通常能在 </w:t>
      </w:r>
      <w:r>
        <w:rPr>
          <w:rFonts w:ascii="Calibri" w:eastAsia="Calibri"/>
        </w:rPr>
        <w:t>2</w:t>
      </w:r>
      <w:r>
        <w:rPr/>
        <w:t>～</w:t>
      </w:r>
      <w:r>
        <w:rPr>
          <w:rFonts w:ascii="Calibri" w:eastAsia="Calibri"/>
        </w:rPr>
        <w:t>3 </w:t>
      </w:r>
      <w:r>
        <w:rPr/>
        <w:t>年內完全收回初始投</w:t>
      </w:r>
      <w:r>
        <w:rPr>
          <w:spacing w:val="-2"/>
        </w:rPr>
        <w:t>資，隨後每年產生穩定的淨收益。以一家擁有中型屋頂菜園的飯店為例，初始投資約 </w:t>
      </w:r>
      <w:r>
        <w:rPr>
          <w:rFonts w:ascii="Calibri" w:eastAsia="Calibri"/>
          <w:spacing w:val="-5"/>
        </w:rPr>
        <w:t>4.5</w:t>
      </w:r>
    </w:p>
    <w:p>
      <w:pPr>
        <w:pStyle w:val="BodyText"/>
        <w:spacing w:line="280" w:lineRule="exact"/>
      </w:pPr>
      <w:r>
        <w:rPr>
          <w:spacing w:val="-5"/>
        </w:rPr>
        <w:t>萬澳元，每年營運成本約 </w:t>
      </w:r>
      <w:r>
        <w:rPr>
          <w:rFonts w:ascii="Calibri" w:eastAsia="Calibri"/>
        </w:rPr>
        <w:t>0.8</w:t>
      </w:r>
      <w:r>
        <w:rPr>
          <w:rFonts w:ascii="Calibri" w:eastAsia="Calibri"/>
          <w:spacing w:val="3"/>
        </w:rPr>
        <w:t> </w:t>
      </w:r>
      <w:r>
        <w:rPr>
          <w:spacing w:val="-3"/>
        </w:rPr>
        <w:t>萬澳元，每年透過食材節約和溢價收入創造約 </w:t>
      </w:r>
      <w:r>
        <w:rPr>
          <w:rFonts w:ascii="Calibri" w:eastAsia="Calibri"/>
        </w:rPr>
        <w:t>4</w:t>
      </w:r>
      <w:r>
        <w:rPr>
          <w:rFonts w:ascii="Calibri" w:eastAsia="Calibri"/>
          <w:spacing w:val="7"/>
        </w:rPr>
        <w:t> </w:t>
      </w:r>
      <w:r>
        <w:rPr>
          <w:spacing w:val="-2"/>
        </w:rPr>
        <w:t>萬澳元的淨</w:t>
      </w:r>
    </w:p>
    <w:p>
      <w:pPr>
        <w:pStyle w:val="BodyText"/>
        <w:spacing w:before="28"/>
      </w:pPr>
      <w:r>
        <w:rPr>
          <w:spacing w:val="-6"/>
        </w:rPr>
        <w:t>價值，投資回收期約 </w:t>
      </w:r>
      <w:r>
        <w:rPr>
          <w:rFonts w:ascii="Calibri" w:eastAsia="Calibri"/>
        </w:rPr>
        <w:t>2</w:t>
      </w:r>
      <w:r>
        <w:rPr>
          <w:rFonts w:ascii="Calibri" w:eastAsia="Calibri"/>
          <w:spacing w:val="8"/>
        </w:rPr>
        <w:t> </w:t>
      </w:r>
      <w:r>
        <w:rPr>
          <w:spacing w:val="-3"/>
        </w:rPr>
        <w:t>年左右。</w:t>
      </w:r>
    </w:p>
    <w:p>
      <w:pPr>
        <w:pStyle w:val="BodyText"/>
        <w:spacing w:line="264" w:lineRule="auto" w:before="186"/>
        <w:ind w:right="1857"/>
      </w:pPr>
      <w:r>
        <w:rPr>
          <w:spacing w:val="-2"/>
        </w:rPr>
        <w:t>除了直接的經濟回報外，專案還能帶來多種難以量化的策略價值，如品牌差異化、顧客忠</w:t>
      </w:r>
      <w:r>
        <w:rPr/>
        <w:t>誠度提升、員工滿意度提升（接觸自然和綠色環境已證明能提升工作滿意度）</w:t>
      </w:r>
      <w:r>
        <w:rPr>
          <w:spacing w:val="-2"/>
        </w:rPr>
        <w:t>和公共關係</w:t>
      </w:r>
    </w:p>
    <w:p>
      <w:pPr>
        <w:pStyle w:val="BodyText"/>
        <w:spacing w:after="0" w:line="264" w:lineRule="auto"/>
        <w:sectPr>
          <w:pgSz w:w="12240" w:h="15840"/>
          <w:pgMar w:top="1400" w:bottom="280" w:left="360" w:right="0"/>
        </w:sectPr>
      </w:pPr>
    </w:p>
    <w:p>
      <w:pPr>
        <w:pStyle w:val="BodyText"/>
        <w:spacing w:line="261" w:lineRule="auto" w:before="28"/>
        <w:ind w:right="1859"/>
      </w:pPr>
      <w:r>
        <w:rPr>
          <w:spacing w:val="-2"/>
        </w:rPr>
        <w:t>優勢。這些因素共同構成了專案的全面商業案例，使其不僅具有環境和社會價值，也具有顯著的商業吸引力。</w:t>
      </w:r>
    </w:p>
    <w:p>
      <w:pPr>
        <w:pStyle w:val="BodyText"/>
        <w:spacing w:before="259"/>
        <w:ind w:left="0"/>
      </w:pPr>
    </w:p>
    <w:p>
      <w:pPr>
        <w:pStyle w:val="Heading1"/>
        <w:numPr>
          <w:ilvl w:val="0"/>
          <w:numId w:val="1"/>
        </w:numPr>
        <w:tabs>
          <w:tab w:pos="1601" w:val="left" w:leader="none"/>
        </w:tabs>
        <w:spacing w:line="240" w:lineRule="auto" w:before="0" w:after="0"/>
        <w:ind w:left="1601" w:right="0" w:hanging="161"/>
        <w:jc w:val="left"/>
      </w:pPr>
      <w:r>
        <w:rPr>
          <w:color w:val="000000"/>
          <w:spacing w:val="-2"/>
          <w:shd w:fill="D9D9D9" w:color="auto" w:val="clear"/>
        </w:rPr>
        <w:t>風險評估與應對</w:t>
      </w:r>
    </w:p>
    <w:p>
      <w:pPr>
        <w:pStyle w:val="BodyText"/>
        <w:spacing w:before="181"/>
        <w:ind w:left="0"/>
        <w:rPr>
          <w:rFonts w:ascii="Microsoft JhengHei"/>
          <w:b/>
        </w:rPr>
      </w:pPr>
    </w:p>
    <w:p>
      <w:pPr>
        <w:pStyle w:val="BodyText"/>
        <w:spacing w:line="264" w:lineRule="auto"/>
        <w:ind w:right="1887"/>
      </w:pPr>
      <w:r>
        <w:rPr>
          <w:spacing w:val="-18"/>
        </w:rPr>
        <w:t>儘管 </w:t>
      </w:r>
      <w:r>
        <w:rPr>
          <w:rFonts w:ascii="Calibri" w:eastAsia="Calibri"/>
        </w:rPr>
        <w:t>Autopot</w:t>
      </w:r>
      <w:r>
        <w:rPr>
          <w:rFonts w:ascii="Calibri" w:eastAsia="Calibri"/>
          <w:spacing w:val="-13"/>
        </w:rPr>
        <w:t> </w:t>
      </w:r>
      <w:r>
        <w:rPr/>
        <w:t>系統與餐飲旅宿業的結合前景廣闊，但實施過程中仍面臨多種挑戰，需要係</w:t>
      </w:r>
      <w:r>
        <w:rPr>
          <w:spacing w:val="-2"/>
        </w:rPr>
        <w:t>統性的風險評估與因應策略：</w:t>
      </w:r>
    </w:p>
    <w:p>
      <w:pPr>
        <w:pStyle w:val="BodyText"/>
        <w:spacing w:before="158"/>
      </w:pPr>
      <w:r>
        <w:rPr>
          <w:spacing w:val="-2"/>
        </w:rPr>
        <w:t>技術風險與應對</w:t>
      </w:r>
    </w:p>
    <w:p>
      <w:pPr>
        <w:pStyle w:val="ListParagraph"/>
        <w:numPr>
          <w:ilvl w:val="0"/>
          <w:numId w:val="2"/>
        </w:numPr>
        <w:tabs>
          <w:tab w:pos="1535" w:val="left" w:leader="none"/>
        </w:tabs>
        <w:spacing w:line="261" w:lineRule="auto" w:before="188" w:after="0"/>
        <w:ind w:left="1440" w:right="1857" w:firstLine="0"/>
        <w:jc w:val="left"/>
        <w:rPr>
          <w:sz w:val="22"/>
        </w:rPr>
      </w:pPr>
      <w:r>
        <w:rPr>
          <w:spacing w:val="-2"/>
          <w:sz w:val="22"/>
        </w:rPr>
        <w:t>系統故障風險：資材使用上的維護缺乏，均有可能導致系統效率下降。為降低此風險，應定期檢查維護系統，使用建議的純正養液種類，防止工業廉價肥料沉澱及重金屬污染，並在設計階段考慮防水措施和洩漏檢測機制。</w:t>
      </w:r>
    </w:p>
    <w:p>
      <w:pPr>
        <w:pStyle w:val="ListParagraph"/>
        <w:numPr>
          <w:ilvl w:val="0"/>
          <w:numId w:val="2"/>
        </w:numPr>
        <w:tabs>
          <w:tab w:pos="1535" w:val="left" w:leader="none"/>
        </w:tabs>
        <w:spacing w:line="264" w:lineRule="auto" w:before="164" w:after="0"/>
        <w:ind w:left="1440" w:right="1885" w:firstLine="0"/>
        <w:jc w:val="left"/>
        <w:rPr>
          <w:sz w:val="22"/>
        </w:rPr>
      </w:pPr>
      <w:r>
        <w:rPr>
          <w:spacing w:val="-2"/>
          <w:sz w:val="22"/>
        </w:rPr>
        <w:t>作物生長不佳：因環境不適、病蟲害或養液不當可能導致作物產量或品質低於預期。因</w:t>
      </w:r>
      <w:r>
        <w:rPr>
          <w:spacing w:val="-4"/>
          <w:sz w:val="22"/>
        </w:rPr>
        <w:t>應措施包括：選擇適合室內種植的作物品種，實施綜合病蟲害管理 </w:t>
      </w:r>
      <w:r>
        <w:rPr>
          <w:rFonts w:ascii="Calibri" w:hAnsi="Calibri" w:eastAsia="Calibri"/>
          <w:spacing w:val="-2"/>
          <w:sz w:val="22"/>
        </w:rPr>
        <w:t>IPM</w:t>
      </w:r>
      <w:r>
        <w:rPr>
          <w:spacing w:val="-2"/>
          <w:sz w:val="22"/>
        </w:rPr>
        <w:t>，定期監測養液參數，以及與專業農業技術人員合作優化生長條件。</w:t>
      </w:r>
    </w:p>
    <w:p>
      <w:pPr>
        <w:pStyle w:val="ListParagraph"/>
        <w:numPr>
          <w:ilvl w:val="0"/>
          <w:numId w:val="2"/>
        </w:numPr>
        <w:tabs>
          <w:tab w:pos="1535" w:val="left" w:leader="none"/>
        </w:tabs>
        <w:spacing w:line="264" w:lineRule="auto" w:before="156" w:after="0"/>
        <w:ind w:left="1440" w:right="1885" w:firstLine="0"/>
        <w:jc w:val="left"/>
        <w:rPr>
          <w:sz w:val="22"/>
        </w:rPr>
      </w:pPr>
      <w:r>
        <w:rPr>
          <w:spacing w:val="-2"/>
          <w:sz w:val="22"/>
        </w:rPr>
        <w:t>技術知識缺乏：餐飲旅宿業員工可能缺乏營運農業系統的專業知識。為解決此問題，應</w:t>
      </w:r>
      <w:r>
        <w:rPr>
          <w:spacing w:val="-3"/>
          <w:sz w:val="22"/>
        </w:rPr>
        <w:t>開發全面的培訓計畫和操作手冊，考慮與 </w:t>
      </w:r>
      <w:r>
        <w:rPr>
          <w:rFonts w:ascii="Calibri" w:hAnsi="Calibri" w:eastAsia="Calibri"/>
          <w:sz w:val="22"/>
        </w:rPr>
        <w:t>Autopot</w:t>
      </w:r>
      <w:r>
        <w:rPr>
          <w:rFonts w:ascii="Calibri" w:hAnsi="Calibri" w:eastAsia="Calibri"/>
          <w:spacing w:val="-13"/>
          <w:sz w:val="22"/>
        </w:rPr>
        <w:t> </w:t>
      </w:r>
      <w:r>
        <w:rPr>
          <w:sz w:val="22"/>
        </w:rPr>
        <w:t>供應商或當地農業專家、學校建立合作</w:t>
      </w:r>
      <w:r>
        <w:rPr>
          <w:spacing w:val="-2"/>
          <w:sz w:val="22"/>
        </w:rPr>
        <w:t>關係，以取得技術支援和指導。</w:t>
      </w:r>
    </w:p>
    <w:p>
      <w:pPr>
        <w:pStyle w:val="BodyText"/>
        <w:spacing w:before="6"/>
        <w:ind w:left="0"/>
        <w:rPr>
          <w:sz w:val="17"/>
        </w:rPr>
      </w:pPr>
      <w:r>
        <w:rPr>
          <w:sz w:val="17"/>
        </w:rPr>
        <w:drawing>
          <wp:anchor distT="0" distB="0" distL="0" distR="0" allowOverlap="1" layoutInCell="1" locked="0" behindDoc="1" simplePos="0" relativeHeight="487597568">
            <wp:simplePos x="0" y="0"/>
            <wp:positionH relativeFrom="page">
              <wp:posOffset>943610</wp:posOffset>
            </wp:positionH>
            <wp:positionV relativeFrom="paragraph">
              <wp:posOffset>157753</wp:posOffset>
            </wp:positionV>
            <wp:extent cx="3035484" cy="2267331"/>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3035484" cy="2267331"/>
                    </a:xfrm>
                    <a:prstGeom prst="rect">
                      <a:avLst/>
                    </a:prstGeom>
                  </pic:spPr>
                </pic:pic>
              </a:graphicData>
            </a:graphic>
          </wp:anchor>
        </w:drawing>
      </w:r>
      <w:r>
        <w:rPr>
          <w:sz w:val="17"/>
        </w:rPr>
        <w:drawing>
          <wp:anchor distT="0" distB="0" distL="0" distR="0" allowOverlap="1" layoutInCell="1" locked="0" behindDoc="1" simplePos="0" relativeHeight="487598080">
            <wp:simplePos x="0" y="0"/>
            <wp:positionH relativeFrom="page">
              <wp:posOffset>4058920</wp:posOffset>
            </wp:positionH>
            <wp:positionV relativeFrom="paragraph">
              <wp:posOffset>159023</wp:posOffset>
            </wp:positionV>
            <wp:extent cx="3160806" cy="2288286"/>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3160806" cy="2288286"/>
                    </a:xfrm>
                    <a:prstGeom prst="rect">
                      <a:avLst/>
                    </a:prstGeom>
                  </pic:spPr>
                </pic:pic>
              </a:graphicData>
            </a:graphic>
          </wp:anchor>
        </w:drawing>
      </w:r>
    </w:p>
    <w:p>
      <w:pPr>
        <w:pStyle w:val="BodyText"/>
        <w:spacing w:before="69"/>
        <w:ind w:left="0"/>
      </w:pPr>
    </w:p>
    <w:p>
      <w:pPr>
        <w:pStyle w:val="BodyText"/>
      </w:pPr>
      <w:r>
        <w:rPr>
          <w:spacing w:val="-2"/>
        </w:rPr>
        <w:t>市場與商業風險</w:t>
      </w:r>
    </w:p>
    <w:p>
      <w:pPr>
        <w:pStyle w:val="ListParagraph"/>
        <w:numPr>
          <w:ilvl w:val="0"/>
          <w:numId w:val="2"/>
        </w:numPr>
        <w:tabs>
          <w:tab w:pos="1535" w:val="left" w:leader="none"/>
        </w:tabs>
        <w:spacing w:line="264" w:lineRule="auto" w:before="186" w:after="0"/>
        <w:ind w:left="1440" w:right="1937" w:firstLine="0"/>
        <w:jc w:val="both"/>
        <w:rPr>
          <w:sz w:val="22"/>
        </w:rPr>
      </w:pPr>
      <w:r>
        <w:rPr>
          <w:spacing w:val="-2"/>
          <w:sz w:val="22"/>
        </w:rPr>
        <w:t>消費者接受度：部分客人可能對室內種植的農產品有疑慮，認為其不如傳統戶外種植的農產品</w:t>
      </w:r>
      <w:r>
        <w:rPr>
          <w:rFonts w:ascii="Calibri" w:hAnsi="Calibri" w:eastAsia="Calibri"/>
          <w:spacing w:val="-2"/>
          <w:sz w:val="22"/>
        </w:rPr>
        <w:t>"</w:t>
      </w:r>
      <w:r>
        <w:rPr>
          <w:spacing w:val="-2"/>
          <w:sz w:val="22"/>
        </w:rPr>
        <w:t>自然</w:t>
      </w:r>
      <w:r>
        <w:rPr>
          <w:rFonts w:ascii="Calibri" w:hAnsi="Calibri" w:eastAsia="Calibri"/>
          <w:spacing w:val="-2"/>
          <w:sz w:val="22"/>
        </w:rPr>
        <w:t>"</w:t>
      </w:r>
      <w:r>
        <w:rPr>
          <w:spacing w:val="-4"/>
          <w:sz w:val="22"/>
        </w:rPr>
        <w:t>。因應策略包括：透明溝通 </w:t>
      </w:r>
      <w:r>
        <w:rPr>
          <w:rFonts w:ascii="Calibri" w:hAnsi="Calibri" w:eastAsia="Calibri"/>
          <w:spacing w:val="-2"/>
          <w:sz w:val="22"/>
        </w:rPr>
        <w:t>Autopot</w:t>
      </w:r>
      <w:r>
        <w:rPr>
          <w:rFonts w:ascii="Calibri" w:hAnsi="Calibri" w:eastAsia="Calibri"/>
          <w:spacing w:val="20"/>
          <w:sz w:val="22"/>
        </w:rPr>
        <w:t> </w:t>
      </w:r>
      <w:r>
        <w:rPr>
          <w:spacing w:val="-2"/>
          <w:sz w:val="22"/>
        </w:rPr>
        <w:t>系統的優點和特點，強調新鮮度、安全性和永續性，提供試嘗體驗和教育材料，消除誤解。</w:t>
      </w:r>
    </w:p>
    <w:p>
      <w:pPr>
        <w:pStyle w:val="ListParagraph"/>
        <w:spacing w:after="0" w:line="264" w:lineRule="auto"/>
        <w:jc w:val="both"/>
        <w:rPr>
          <w:sz w:val="22"/>
        </w:rPr>
        <w:sectPr>
          <w:pgSz w:w="12240" w:h="15840"/>
          <w:pgMar w:top="1400" w:bottom="280" w:left="360" w:right="0"/>
        </w:sectPr>
      </w:pPr>
    </w:p>
    <w:p>
      <w:pPr>
        <w:pStyle w:val="ListParagraph"/>
        <w:numPr>
          <w:ilvl w:val="0"/>
          <w:numId w:val="2"/>
        </w:numPr>
        <w:tabs>
          <w:tab w:pos="1535" w:val="left" w:leader="none"/>
        </w:tabs>
        <w:spacing w:line="264" w:lineRule="auto" w:before="28" w:after="0"/>
        <w:ind w:left="1440" w:right="1859" w:firstLine="0"/>
        <w:jc w:val="left"/>
        <w:rPr>
          <w:sz w:val="22"/>
        </w:rPr>
      </w:pPr>
      <w:r>
        <w:rPr>
          <w:spacing w:val="-2"/>
          <w:sz w:val="22"/>
        </w:rPr>
        <w:t>市場競爭加劇：隨著垂直農業技術普及，可能會有更多競爭者引進類似系統。為維持競爭優勢，應持續創新種植作物和整合方式，專注於提供獨特體驗而不僅僅是產品，建立基於品質和永續性的品牌忠誠度。</w:t>
      </w:r>
    </w:p>
    <w:p>
      <w:pPr>
        <w:pStyle w:val="BodyText"/>
        <w:ind w:left="0"/>
      </w:pPr>
    </w:p>
    <w:p>
      <w:pPr>
        <w:pStyle w:val="BodyText"/>
        <w:spacing w:before="42"/>
        <w:ind w:left="0"/>
      </w:pPr>
    </w:p>
    <w:p>
      <w:pPr>
        <w:pStyle w:val="BodyText"/>
      </w:pPr>
      <w:r>
        <w:rPr>
          <w:spacing w:val="-2"/>
        </w:rPr>
        <w:t>營運與財務風險</w:t>
      </w:r>
    </w:p>
    <w:p>
      <w:pPr>
        <w:pStyle w:val="ListParagraph"/>
        <w:numPr>
          <w:ilvl w:val="0"/>
          <w:numId w:val="2"/>
        </w:numPr>
        <w:tabs>
          <w:tab w:pos="1535" w:val="left" w:leader="none"/>
        </w:tabs>
        <w:spacing w:line="261" w:lineRule="auto" w:before="188" w:after="0"/>
        <w:ind w:left="1440" w:right="1982" w:firstLine="0"/>
        <w:jc w:val="left"/>
        <w:rPr>
          <w:sz w:val="22"/>
        </w:rPr>
      </w:pPr>
      <w:r>
        <w:rPr>
          <w:spacing w:val="-2"/>
          <w:sz w:val="22"/>
        </w:rPr>
        <w:t>營運中斷：飯店裝修或設備故障可能導致系統暫時停擺。應有備份生產計劃，如與本地供應商保持備用合作，並制定系統遷移或保護方案，確保最小化營運中斷。</w:t>
      </w:r>
    </w:p>
    <w:p>
      <w:pPr>
        <w:pStyle w:val="ListParagraph"/>
        <w:numPr>
          <w:ilvl w:val="0"/>
          <w:numId w:val="2"/>
        </w:numPr>
        <w:tabs>
          <w:tab w:pos="1535" w:val="left" w:leader="none"/>
        </w:tabs>
        <w:spacing w:line="240" w:lineRule="auto" w:before="161" w:after="0"/>
        <w:ind w:left="1535" w:right="0" w:hanging="95"/>
        <w:jc w:val="left"/>
        <w:rPr>
          <w:sz w:val="22"/>
        </w:rPr>
      </w:pPr>
      <w:r>
        <w:rPr>
          <w:spacing w:val="-1"/>
          <w:sz w:val="22"/>
        </w:rPr>
        <w:t>成本超支：初始投資或營運成本可能超出預算。因應措施包括：從簡單小規模系統開</w:t>
      </w:r>
    </w:p>
    <w:p>
      <w:pPr>
        <w:pStyle w:val="BodyText"/>
        <w:spacing w:line="261" w:lineRule="auto" w:before="28"/>
        <w:ind w:right="1859"/>
      </w:pPr>
      <w:r>
        <w:rPr>
          <w:spacing w:val="-2"/>
        </w:rPr>
        <w:t>始，逐步擴展；選擇模組化設計，以便根據預算靈活調整；密切注意營運數據，及時調整策略控製成本。</w:t>
      </w:r>
    </w:p>
    <w:p>
      <w:pPr>
        <w:pStyle w:val="BodyText"/>
        <w:ind w:left="0"/>
        <w:rPr>
          <w:sz w:val="19"/>
        </w:rPr>
      </w:pPr>
      <w:r>
        <w:rPr>
          <w:sz w:val="19"/>
        </w:rPr>
        <w:drawing>
          <wp:anchor distT="0" distB="0" distL="0" distR="0" allowOverlap="1" layoutInCell="1" locked="0" behindDoc="1" simplePos="0" relativeHeight="487598592">
            <wp:simplePos x="0" y="0"/>
            <wp:positionH relativeFrom="page">
              <wp:posOffset>1057910</wp:posOffset>
            </wp:positionH>
            <wp:positionV relativeFrom="paragraph">
              <wp:posOffset>170394</wp:posOffset>
            </wp:positionV>
            <wp:extent cx="2982997" cy="1823085"/>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6" cstate="print"/>
                    <a:stretch>
                      <a:fillRect/>
                    </a:stretch>
                  </pic:blipFill>
                  <pic:spPr>
                    <a:xfrm>
                      <a:off x="0" y="0"/>
                      <a:ext cx="2982997" cy="1823085"/>
                    </a:xfrm>
                    <a:prstGeom prst="rect">
                      <a:avLst/>
                    </a:prstGeom>
                  </pic:spPr>
                </pic:pic>
              </a:graphicData>
            </a:graphic>
          </wp:anchor>
        </w:drawing>
      </w:r>
      <w:r>
        <w:rPr>
          <w:sz w:val="19"/>
        </w:rPr>
        <w:drawing>
          <wp:anchor distT="0" distB="0" distL="0" distR="0" allowOverlap="1" layoutInCell="1" locked="0" behindDoc="1" simplePos="0" relativeHeight="487599104">
            <wp:simplePos x="0" y="0"/>
            <wp:positionH relativeFrom="page">
              <wp:posOffset>4165600</wp:posOffset>
            </wp:positionH>
            <wp:positionV relativeFrom="paragraph">
              <wp:posOffset>170394</wp:posOffset>
            </wp:positionV>
            <wp:extent cx="2612282" cy="1835657"/>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7" cstate="print"/>
                    <a:stretch>
                      <a:fillRect/>
                    </a:stretch>
                  </pic:blipFill>
                  <pic:spPr>
                    <a:xfrm>
                      <a:off x="0" y="0"/>
                      <a:ext cx="2612282" cy="1835657"/>
                    </a:xfrm>
                    <a:prstGeom prst="rect">
                      <a:avLst/>
                    </a:prstGeom>
                  </pic:spPr>
                </pic:pic>
              </a:graphicData>
            </a:graphic>
          </wp:anchor>
        </w:drawing>
      </w:r>
    </w:p>
    <w:p>
      <w:pPr>
        <w:pStyle w:val="BodyText"/>
        <w:spacing w:before="248"/>
        <w:ind w:left="0"/>
      </w:pPr>
    </w:p>
    <w:p>
      <w:pPr>
        <w:pStyle w:val="Heading1"/>
        <w:numPr>
          <w:ilvl w:val="0"/>
          <w:numId w:val="1"/>
        </w:numPr>
        <w:tabs>
          <w:tab w:pos="1601" w:val="left" w:leader="none"/>
        </w:tabs>
        <w:spacing w:line="240" w:lineRule="auto" w:before="0" w:after="0"/>
        <w:ind w:left="1601" w:right="0" w:hanging="161"/>
        <w:jc w:val="left"/>
      </w:pPr>
      <w:r>
        <w:rPr>
          <w:color w:val="000000"/>
          <w:spacing w:val="-2"/>
          <w:shd w:fill="D9D9D9" w:color="auto" w:val="clear"/>
        </w:rPr>
        <w:t>結論與建議</w:t>
      </w:r>
    </w:p>
    <w:p>
      <w:pPr>
        <w:pStyle w:val="BodyText"/>
        <w:spacing w:before="182"/>
        <w:ind w:left="0"/>
        <w:rPr>
          <w:rFonts w:ascii="Microsoft JhengHei"/>
          <w:b/>
        </w:rPr>
      </w:pPr>
    </w:p>
    <w:p>
      <w:pPr>
        <w:pStyle w:val="BodyText"/>
        <w:spacing w:line="264" w:lineRule="auto"/>
        <w:ind w:right="1857"/>
      </w:pPr>
      <w:r>
        <w:rPr>
          <w:rFonts w:ascii="Calibri" w:eastAsia="Calibri"/>
        </w:rPr>
        <w:t>Autopot </w:t>
      </w:r>
      <w:r>
        <w:rPr/>
        <w:t>自主潮汐養液栽培系統與餐飲旅宿業的結合代表了一種現代創新商業模式，尤其是新式對應型魚菜共生模式的生態複合式農法</w:t>
      </w:r>
      <w:r>
        <w:rPr>
          <w:rFonts w:ascii="Calibri" w:eastAsia="Calibri"/>
        </w:rPr>
        <w:t>(Autopot Smart Aqua)</w:t>
      </w:r>
      <w:r>
        <w:rPr/>
        <w:t>，它巧妙地將永續農</w:t>
      </w:r>
      <w:r>
        <w:rPr/>
        <w:t> </w:t>
      </w:r>
      <w:r>
        <w:rPr>
          <w:spacing w:val="-2"/>
        </w:rPr>
        <w:t>業、資源效率和差異化客戶體驗融合在一起。透過本企劃案的分析，我們可以得出以下結</w:t>
      </w:r>
      <w:r>
        <w:rPr>
          <w:spacing w:val="-6"/>
        </w:rPr>
        <w:t>論：</w:t>
      </w:r>
    </w:p>
    <w:p>
      <w:pPr>
        <w:pStyle w:val="BodyText"/>
        <w:spacing w:line="264" w:lineRule="auto" w:before="156"/>
        <w:ind w:right="1857"/>
      </w:pPr>
      <w:r>
        <w:rPr/>
        <w:t>首先，</w:t>
      </w:r>
      <w:r>
        <w:rPr>
          <w:rFonts w:ascii="Calibri" w:eastAsia="Calibri"/>
        </w:rPr>
        <w:t>Autopot </w:t>
      </w:r>
      <w:r>
        <w:rPr/>
        <w:t>系統憑藉其省電力優勢、水肥高效和靈活擴展的特點，非常適合在空間有</w:t>
      </w:r>
      <w:r>
        <w:rPr>
          <w:spacing w:val="-2"/>
        </w:rPr>
        <w:t>限、營運複雜的餐飲旅宿環境中部署。與傳統設施農業系統相比，它避免了高能耗問題；與傳統食材供應鏈相比，它提供了無與倫比的新鮮度與口感以及透明可追溯性。</w:t>
      </w:r>
    </w:p>
    <w:p>
      <w:pPr>
        <w:pStyle w:val="BodyText"/>
        <w:spacing w:line="261" w:lineRule="auto" w:before="157"/>
        <w:ind w:right="1857"/>
      </w:pPr>
      <w:r>
        <w:rPr>
          <w:spacing w:val="-2"/>
        </w:rPr>
        <w:t>其次，這種整合創造了多重價值，從直接經濟效益（食材成本節約和餐飲溢價）到間接品</w:t>
      </w:r>
      <w:r>
        <w:rPr/>
        <w:t>牌提升（綠色形象和顧客吸引力），</w:t>
      </w:r>
      <w:r>
        <w:rPr>
          <w:spacing w:val="-1"/>
        </w:rPr>
        <w:t>形成了強而有力的商業案例。相對較短的投資回收期</w:t>
      </w:r>
    </w:p>
    <w:p>
      <w:pPr>
        <w:pStyle w:val="BodyText"/>
        <w:spacing w:before="2"/>
      </w:pPr>
      <w:r>
        <w:rPr/>
        <w:t>（</w:t>
      </w:r>
      <w:r>
        <w:rPr>
          <w:spacing w:val="-11"/>
        </w:rPr>
        <w:t>通常預計 </w:t>
      </w:r>
      <w:r>
        <w:rPr>
          <w:rFonts w:ascii="Calibri" w:eastAsia="Calibri"/>
        </w:rPr>
        <w:t>2</w:t>
      </w:r>
      <w:r>
        <w:rPr>
          <w:rFonts w:ascii="Calibri" w:eastAsia="Calibri"/>
          <w:spacing w:val="6"/>
        </w:rPr>
        <w:t> </w:t>
      </w:r>
      <w:r>
        <w:rPr/>
        <w:t>年前後）</w:t>
      </w:r>
      <w:r>
        <w:rPr>
          <w:spacing w:val="-1"/>
        </w:rPr>
        <w:t>使專案具有明顯的財務可行性。</w:t>
      </w:r>
    </w:p>
    <w:p>
      <w:pPr>
        <w:pStyle w:val="BodyText"/>
        <w:spacing w:line="264" w:lineRule="auto" w:before="188"/>
        <w:ind w:right="1857"/>
        <w:jc w:val="both"/>
      </w:pPr>
      <w:r>
        <w:rPr>
          <w:spacing w:val="-2"/>
        </w:rPr>
        <w:t>最後，專案成功實施關鍵在於精心規劃、分階段推進和持續優化。我們建議潛在採用者從試點計畫開始，選擇最適合自身需求和能力的應用模式，並投入足夠資源培訓員工和與客人溝通計畫價值。</w:t>
      </w:r>
    </w:p>
    <w:p>
      <w:pPr>
        <w:pStyle w:val="BodyText"/>
        <w:spacing w:after="0" w:line="264" w:lineRule="auto"/>
        <w:jc w:val="both"/>
        <w:sectPr>
          <w:pgSz w:w="12240" w:h="15840"/>
          <w:pgMar w:top="1400" w:bottom="280" w:left="360" w:right="0"/>
        </w:sectPr>
      </w:pPr>
    </w:p>
    <w:p>
      <w:pPr>
        <w:pStyle w:val="BodyText"/>
        <w:spacing w:line="264" w:lineRule="auto" w:before="28"/>
        <w:ind w:right="1859"/>
        <w:jc w:val="both"/>
      </w:pPr>
      <w:r>
        <w:rPr>
          <w:spacing w:val="-2"/>
        </w:rPr>
        <w:t>隨著全球餐飲旅宿業日益注重永續發展與體驗創造，將 </w:t>
      </w:r>
      <w:r>
        <w:rPr>
          <w:rFonts w:ascii="Calibri" w:eastAsia="Calibri"/>
        </w:rPr>
        <w:t>Autopot</w:t>
      </w:r>
      <w:r>
        <w:rPr>
          <w:rFonts w:ascii="Calibri" w:eastAsia="Calibri"/>
          <w:spacing w:val="-12"/>
        </w:rPr>
        <w:t> </w:t>
      </w:r>
      <w:r>
        <w:rPr/>
        <w:t>系統等創新農業技術融入</w:t>
      </w:r>
      <w:r>
        <w:rPr>
          <w:spacing w:val="-2"/>
        </w:rPr>
        <w:t>營運已不僅是邊緣實驗，而是主流趨勢。早期採用者將有機會塑造行業標準，建立差異化競爭優勢，並為更永續的食品系統做出貢獻。我們鼓勵有遠見的餐飲旅宿業者認真考慮這項創新機會，踏上從單純食材消費者轉變為部分生產者的旅程，開創餐飲旅宿業與現代化城市農業共生的未來。</w:t>
      </w:r>
    </w:p>
    <w:p>
      <w:pPr>
        <w:pStyle w:val="BodyText"/>
        <w:spacing w:before="12"/>
        <w:ind w:left="0"/>
        <w:rPr>
          <w:sz w:val="11"/>
        </w:rPr>
      </w:pPr>
      <w:r>
        <w:rPr>
          <w:sz w:val="11"/>
        </w:rPr>
        <w:drawing>
          <wp:anchor distT="0" distB="0" distL="0" distR="0" allowOverlap="1" layoutInCell="1" locked="0" behindDoc="1" simplePos="0" relativeHeight="487599616">
            <wp:simplePos x="0" y="0"/>
            <wp:positionH relativeFrom="page">
              <wp:posOffset>1050290</wp:posOffset>
            </wp:positionH>
            <wp:positionV relativeFrom="paragraph">
              <wp:posOffset>112831</wp:posOffset>
            </wp:positionV>
            <wp:extent cx="5564792" cy="3682269"/>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8" cstate="print"/>
                    <a:stretch>
                      <a:fillRect/>
                    </a:stretch>
                  </pic:blipFill>
                  <pic:spPr>
                    <a:xfrm>
                      <a:off x="0" y="0"/>
                      <a:ext cx="5564792" cy="3682269"/>
                    </a:xfrm>
                    <a:prstGeom prst="rect">
                      <a:avLst/>
                    </a:prstGeom>
                  </pic:spPr>
                </pic:pic>
              </a:graphicData>
            </a:graphic>
          </wp:anchor>
        </w:drawing>
      </w:r>
    </w:p>
    <w:p>
      <w:pPr>
        <w:pStyle w:val="BodyText"/>
        <w:spacing w:after="0"/>
        <w:rPr>
          <w:sz w:val="11"/>
        </w:rPr>
        <w:sectPr>
          <w:pgSz w:w="12240" w:h="15840"/>
          <w:pgMar w:top="1400" w:bottom="280" w:left="360" w:right="0"/>
        </w:sectPr>
      </w:pPr>
    </w:p>
    <w:p>
      <w:pPr>
        <w:pStyle w:val="BodyText"/>
        <w:ind w:left="72"/>
        <w:rPr>
          <w:sz w:val="20"/>
        </w:rPr>
      </w:pPr>
      <w:r>
        <w:rPr>
          <w:sz w:val="20"/>
        </w:rPr>
        <w:drawing>
          <wp:inline distT="0" distB="0" distL="0" distR="0">
            <wp:extent cx="7054241" cy="7802403"/>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9" cstate="print"/>
                    <a:stretch>
                      <a:fillRect/>
                    </a:stretch>
                  </pic:blipFill>
                  <pic:spPr>
                    <a:xfrm>
                      <a:off x="0" y="0"/>
                      <a:ext cx="7054241" cy="7802403"/>
                    </a:xfrm>
                    <a:prstGeom prst="rect">
                      <a:avLst/>
                    </a:prstGeom>
                  </pic:spPr>
                </pic:pic>
              </a:graphicData>
            </a:graphic>
          </wp:inline>
        </w:drawing>
      </w:r>
      <w:r>
        <w:rPr>
          <w:sz w:val="20"/>
        </w:rPr>
      </w:r>
    </w:p>
    <w:p>
      <w:pPr>
        <w:pStyle w:val="BodyText"/>
        <w:spacing w:after="0"/>
        <w:rPr>
          <w:sz w:val="20"/>
        </w:rPr>
        <w:sectPr>
          <w:pgSz w:w="12240" w:h="15840"/>
          <w:pgMar w:top="1540" w:bottom="280" w:left="360" w:right="0"/>
        </w:sectPr>
      </w:pPr>
    </w:p>
    <w:p>
      <w:pPr>
        <w:pStyle w:val="BodyText"/>
        <w:ind w:left="220"/>
        <w:rPr>
          <w:sz w:val="20"/>
        </w:rPr>
      </w:pPr>
      <w:r>
        <w:rPr>
          <w:sz w:val="20"/>
        </w:rPr>
        <w:drawing>
          <wp:inline distT="0" distB="0" distL="0" distR="0">
            <wp:extent cx="7030266" cy="7798308"/>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30" cstate="print"/>
                    <a:stretch>
                      <a:fillRect/>
                    </a:stretch>
                  </pic:blipFill>
                  <pic:spPr>
                    <a:xfrm>
                      <a:off x="0" y="0"/>
                      <a:ext cx="7030266" cy="7798308"/>
                    </a:xfrm>
                    <a:prstGeom prst="rect">
                      <a:avLst/>
                    </a:prstGeom>
                  </pic:spPr>
                </pic:pic>
              </a:graphicData>
            </a:graphic>
          </wp:inline>
        </w:drawing>
      </w:r>
      <w:r>
        <w:rPr>
          <w:sz w:val="20"/>
        </w:rPr>
      </w:r>
    </w:p>
    <w:p>
      <w:pPr>
        <w:pStyle w:val="BodyText"/>
        <w:spacing w:after="0"/>
        <w:rPr>
          <w:sz w:val="20"/>
        </w:rPr>
        <w:sectPr>
          <w:pgSz w:w="12240" w:h="15840"/>
          <w:pgMar w:top="1480" w:bottom="280" w:left="360" w:right="0"/>
        </w:sectPr>
      </w:pPr>
    </w:p>
    <w:p>
      <w:pPr>
        <w:pStyle w:val="BodyText"/>
        <w:ind w:left="92"/>
        <w:rPr>
          <w:sz w:val="20"/>
        </w:rPr>
      </w:pPr>
      <w:r>
        <w:rPr>
          <w:sz w:val="20"/>
        </w:rPr>
        <w:drawing>
          <wp:inline distT="0" distB="0" distL="0" distR="0">
            <wp:extent cx="7182997" cy="7736871"/>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1" cstate="print"/>
                    <a:stretch>
                      <a:fillRect/>
                    </a:stretch>
                  </pic:blipFill>
                  <pic:spPr>
                    <a:xfrm>
                      <a:off x="0" y="0"/>
                      <a:ext cx="7182997" cy="7736871"/>
                    </a:xfrm>
                    <a:prstGeom prst="rect">
                      <a:avLst/>
                    </a:prstGeom>
                  </pic:spPr>
                </pic:pic>
              </a:graphicData>
            </a:graphic>
          </wp:inline>
        </w:drawing>
      </w:r>
      <w:r>
        <w:rPr>
          <w:sz w:val="20"/>
        </w:rPr>
      </w:r>
    </w:p>
    <w:p>
      <w:pPr>
        <w:pStyle w:val="BodyText"/>
        <w:spacing w:after="0"/>
        <w:rPr>
          <w:sz w:val="20"/>
        </w:rPr>
        <w:sectPr>
          <w:pgSz w:w="12240" w:h="15840"/>
          <w:pgMar w:top="1580" w:bottom="280" w:left="360" w:right="0"/>
        </w:sectPr>
      </w:pPr>
    </w:p>
    <w:p>
      <w:pPr>
        <w:pStyle w:val="BodyText"/>
        <w:ind w:left="88"/>
        <w:rPr>
          <w:sz w:val="20"/>
        </w:rPr>
      </w:pPr>
      <w:r>
        <w:rPr>
          <w:sz w:val="20"/>
        </w:rPr>
        <w:drawing>
          <wp:inline distT="0" distB="0" distL="0" distR="0">
            <wp:extent cx="7120383" cy="7937563"/>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32" cstate="print"/>
                    <a:stretch>
                      <a:fillRect/>
                    </a:stretch>
                  </pic:blipFill>
                  <pic:spPr>
                    <a:xfrm>
                      <a:off x="0" y="0"/>
                      <a:ext cx="7120383" cy="7937563"/>
                    </a:xfrm>
                    <a:prstGeom prst="rect">
                      <a:avLst/>
                    </a:prstGeom>
                  </pic:spPr>
                </pic:pic>
              </a:graphicData>
            </a:graphic>
          </wp:inline>
        </w:drawing>
      </w:r>
      <w:r>
        <w:rPr>
          <w:sz w:val="20"/>
        </w:rPr>
      </w:r>
    </w:p>
    <w:p>
      <w:pPr>
        <w:pStyle w:val="BodyText"/>
        <w:spacing w:after="0"/>
        <w:rPr>
          <w:sz w:val="20"/>
        </w:rPr>
        <w:sectPr>
          <w:pgSz w:w="12240" w:h="15840"/>
          <w:pgMar w:top="1540" w:bottom="280" w:left="360" w:right="0"/>
        </w:sectPr>
      </w:pPr>
    </w:p>
    <w:p>
      <w:pPr>
        <w:pStyle w:val="BodyText"/>
        <w:ind w:left="1330"/>
        <w:rPr>
          <w:sz w:val="20"/>
        </w:rPr>
      </w:pPr>
      <w:r>
        <w:rPr>
          <w:sz w:val="20"/>
        </w:rPr>
        <w:drawing>
          <wp:inline distT="0" distB="0" distL="0" distR="0">
            <wp:extent cx="5546203" cy="9241155"/>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3" cstate="print"/>
                    <a:stretch>
                      <a:fillRect/>
                    </a:stretch>
                  </pic:blipFill>
                  <pic:spPr>
                    <a:xfrm>
                      <a:off x="0" y="0"/>
                      <a:ext cx="5546203" cy="9241155"/>
                    </a:xfrm>
                    <a:prstGeom prst="rect">
                      <a:avLst/>
                    </a:prstGeom>
                  </pic:spPr>
                </pic:pic>
              </a:graphicData>
            </a:graphic>
          </wp:inline>
        </w:drawing>
      </w:r>
      <w:r>
        <w:rPr>
          <w:sz w:val="20"/>
        </w:rPr>
      </w:r>
    </w:p>
    <w:sectPr>
      <w:pgSz w:w="12240" w:h="15840"/>
      <w:pgMar w:top="600" w:bottom="28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SimSun">
    <w:altName w:val="SimSun"/>
    <w:charset w:val="1"/>
    <w:family w:val="roman"/>
    <w:pitch w:val="variable"/>
  </w:font>
  <w:font w:name="Microsoft JhengHei">
    <w:altName w:val="Microsoft JhengHei"/>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440" w:hanging="160"/>
      </w:pPr>
      <w:rPr>
        <w:rFonts w:hint="default" w:ascii="Calibri" w:hAnsi="Calibri" w:eastAsia="Calibri" w:cs="Calibri"/>
        <w:b w:val="0"/>
        <w:bCs w:val="0"/>
        <w:i w:val="0"/>
        <w:iCs w:val="0"/>
        <w:spacing w:val="0"/>
        <w:w w:val="100"/>
        <w:sz w:val="22"/>
        <w:szCs w:val="22"/>
        <w:lang w:val="de-DE" w:eastAsia="en-US" w:bidi="ar-SA"/>
      </w:rPr>
    </w:lvl>
    <w:lvl w:ilvl="1">
      <w:start w:val="0"/>
      <w:numFmt w:val="bullet"/>
      <w:lvlText w:val="•"/>
      <w:lvlJc w:val="left"/>
      <w:pPr>
        <w:ind w:left="2484" w:hanging="160"/>
      </w:pPr>
      <w:rPr>
        <w:rFonts w:hint="default"/>
        <w:lang w:val="de-DE" w:eastAsia="en-US" w:bidi="ar-SA"/>
      </w:rPr>
    </w:lvl>
    <w:lvl w:ilvl="2">
      <w:start w:val="0"/>
      <w:numFmt w:val="bullet"/>
      <w:lvlText w:val="•"/>
      <w:lvlJc w:val="left"/>
      <w:pPr>
        <w:ind w:left="3528" w:hanging="160"/>
      </w:pPr>
      <w:rPr>
        <w:rFonts w:hint="default"/>
        <w:lang w:val="de-DE" w:eastAsia="en-US" w:bidi="ar-SA"/>
      </w:rPr>
    </w:lvl>
    <w:lvl w:ilvl="3">
      <w:start w:val="0"/>
      <w:numFmt w:val="bullet"/>
      <w:lvlText w:val="•"/>
      <w:lvlJc w:val="left"/>
      <w:pPr>
        <w:ind w:left="4572" w:hanging="160"/>
      </w:pPr>
      <w:rPr>
        <w:rFonts w:hint="default"/>
        <w:lang w:val="de-DE" w:eastAsia="en-US" w:bidi="ar-SA"/>
      </w:rPr>
    </w:lvl>
    <w:lvl w:ilvl="4">
      <w:start w:val="0"/>
      <w:numFmt w:val="bullet"/>
      <w:lvlText w:val="•"/>
      <w:lvlJc w:val="left"/>
      <w:pPr>
        <w:ind w:left="5616" w:hanging="160"/>
      </w:pPr>
      <w:rPr>
        <w:rFonts w:hint="default"/>
        <w:lang w:val="de-DE" w:eastAsia="en-US" w:bidi="ar-SA"/>
      </w:rPr>
    </w:lvl>
    <w:lvl w:ilvl="5">
      <w:start w:val="0"/>
      <w:numFmt w:val="bullet"/>
      <w:lvlText w:val="•"/>
      <w:lvlJc w:val="left"/>
      <w:pPr>
        <w:ind w:left="6660" w:hanging="160"/>
      </w:pPr>
      <w:rPr>
        <w:rFonts w:hint="default"/>
        <w:lang w:val="de-DE" w:eastAsia="en-US" w:bidi="ar-SA"/>
      </w:rPr>
    </w:lvl>
    <w:lvl w:ilvl="6">
      <w:start w:val="0"/>
      <w:numFmt w:val="bullet"/>
      <w:lvlText w:val="•"/>
      <w:lvlJc w:val="left"/>
      <w:pPr>
        <w:ind w:left="7704" w:hanging="160"/>
      </w:pPr>
      <w:rPr>
        <w:rFonts w:hint="default"/>
        <w:lang w:val="de-DE" w:eastAsia="en-US" w:bidi="ar-SA"/>
      </w:rPr>
    </w:lvl>
    <w:lvl w:ilvl="7">
      <w:start w:val="0"/>
      <w:numFmt w:val="bullet"/>
      <w:lvlText w:val="•"/>
      <w:lvlJc w:val="left"/>
      <w:pPr>
        <w:ind w:left="8748" w:hanging="160"/>
      </w:pPr>
      <w:rPr>
        <w:rFonts w:hint="default"/>
        <w:lang w:val="de-DE" w:eastAsia="en-US" w:bidi="ar-SA"/>
      </w:rPr>
    </w:lvl>
    <w:lvl w:ilvl="8">
      <w:start w:val="0"/>
      <w:numFmt w:val="bullet"/>
      <w:lvlText w:val="•"/>
      <w:lvlJc w:val="left"/>
      <w:pPr>
        <w:ind w:left="9792" w:hanging="160"/>
      </w:pPr>
      <w:rPr>
        <w:rFonts w:hint="default"/>
        <w:lang w:val="de-DE" w:eastAsia="en-US" w:bidi="ar-SA"/>
      </w:rPr>
    </w:lvl>
  </w:abstractNum>
  <w:abstractNum w:abstractNumId="1">
    <w:multiLevelType w:val="hybridMultilevel"/>
    <w:lvl w:ilvl="0">
      <w:start w:val="0"/>
      <w:numFmt w:val="bullet"/>
      <w:lvlText w:val="·"/>
      <w:lvlJc w:val="left"/>
      <w:pPr>
        <w:ind w:left="1439" w:hanging="96"/>
      </w:pPr>
      <w:rPr>
        <w:rFonts w:hint="default" w:ascii="SimSun" w:hAnsi="SimSun" w:eastAsia="SimSun" w:cs="SimSun"/>
        <w:b w:val="0"/>
        <w:bCs w:val="0"/>
        <w:i w:val="0"/>
        <w:iCs w:val="0"/>
        <w:spacing w:val="0"/>
        <w:w w:val="20"/>
        <w:sz w:val="22"/>
        <w:szCs w:val="22"/>
        <w:lang w:val="de-DE" w:eastAsia="en-US" w:bidi="ar-SA"/>
      </w:rPr>
    </w:lvl>
    <w:lvl w:ilvl="1">
      <w:start w:val="0"/>
      <w:numFmt w:val="bullet"/>
      <w:lvlText w:val="•"/>
      <w:lvlJc w:val="left"/>
      <w:pPr>
        <w:ind w:left="2484" w:hanging="96"/>
      </w:pPr>
      <w:rPr>
        <w:rFonts w:hint="default"/>
        <w:lang w:val="de-DE" w:eastAsia="en-US" w:bidi="ar-SA"/>
      </w:rPr>
    </w:lvl>
    <w:lvl w:ilvl="2">
      <w:start w:val="0"/>
      <w:numFmt w:val="bullet"/>
      <w:lvlText w:val="•"/>
      <w:lvlJc w:val="left"/>
      <w:pPr>
        <w:ind w:left="3528" w:hanging="96"/>
      </w:pPr>
      <w:rPr>
        <w:rFonts w:hint="default"/>
        <w:lang w:val="de-DE" w:eastAsia="en-US" w:bidi="ar-SA"/>
      </w:rPr>
    </w:lvl>
    <w:lvl w:ilvl="3">
      <w:start w:val="0"/>
      <w:numFmt w:val="bullet"/>
      <w:lvlText w:val="•"/>
      <w:lvlJc w:val="left"/>
      <w:pPr>
        <w:ind w:left="4572" w:hanging="96"/>
      </w:pPr>
      <w:rPr>
        <w:rFonts w:hint="default"/>
        <w:lang w:val="de-DE" w:eastAsia="en-US" w:bidi="ar-SA"/>
      </w:rPr>
    </w:lvl>
    <w:lvl w:ilvl="4">
      <w:start w:val="0"/>
      <w:numFmt w:val="bullet"/>
      <w:lvlText w:val="•"/>
      <w:lvlJc w:val="left"/>
      <w:pPr>
        <w:ind w:left="5616" w:hanging="96"/>
      </w:pPr>
      <w:rPr>
        <w:rFonts w:hint="default"/>
        <w:lang w:val="de-DE" w:eastAsia="en-US" w:bidi="ar-SA"/>
      </w:rPr>
    </w:lvl>
    <w:lvl w:ilvl="5">
      <w:start w:val="0"/>
      <w:numFmt w:val="bullet"/>
      <w:lvlText w:val="•"/>
      <w:lvlJc w:val="left"/>
      <w:pPr>
        <w:ind w:left="6660" w:hanging="96"/>
      </w:pPr>
      <w:rPr>
        <w:rFonts w:hint="default"/>
        <w:lang w:val="de-DE" w:eastAsia="en-US" w:bidi="ar-SA"/>
      </w:rPr>
    </w:lvl>
    <w:lvl w:ilvl="6">
      <w:start w:val="0"/>
      <w:numFmt w:val="bullet"/>
      <w:lvlText w:val="•"/>
      <w:lvlJc w:val="left"/>
      <w:pPr>
        <w:ind w:left="7704" w:hanging="96"/>
      </w:pPr>
      <w:rPr>
        <w:rFonts w:hint="default"/>
        <w:lang w:val="de-DE" w:eastAsia="en-US" w:bidi="ar-SA"/>
      </w:rPr>
    </w:lvl>
    <w:lvl w:ilvl="7">
      <w:start w:val="0"/>
      <w:numFmt w:val="bullet"/>
      <w:lvlText w:val="•"/>
      <w:lvlJc w:val="left"/>
      <w:pPr>
        <w:ind w:left="8748" w:hanging="96"/>
      </w:pPr>
      <w:rPr>
        <w:rFonts w:hint="default"/>
        <w:lang w:val="de-DE" w:eastAsia="en-US" w:bidi="ar-SA"/>
      </w:rPr>
    </w:lvl>
    <w:lvl w:ilvl="8">
      <w:start w:val="0"/>
      <w:numFmt w:val="bullet"/>
      <w:lvlText w:val="•"/>
      <w:lvlJc w:val="left"/>
      <w:pPr>
        <w:ind w:left="9792" w:hanging="96"/>
      </w:pPr>
      <w:rPr>
        <w:rFonts w:hint="default"/>
        <w:lang w:val="de-DE" w:eastAsia="en-US" w:bidi="ar-SA"/>
      </w:rPr>
    </w:lvl>
  </w:abstractNum>
  <w:abstractNum w:abstractNumId="0">
    <w:multiLevelType w:val="hybridMultilevel"/>
    <w:lvl w:ilvl="0">
      <w:start w:val="1"/>
      <w:numFmt w:val="decimal"/>
      <w:lvlText w:val="%1"/>
      <w:lvlJc w:val="left"/>
      <w:pPr>
        <w:ind w:left="1602" w:hanging="162"/>
        <w:jc w:val="left"/>
      </w:pPr>
      <w:rPr>
        <w:rFonts w:hint="default" w:ascii="Calibri" w:hAnsi="Calibri" w:eastAsia="Calibri" w:cs="Calibri"/>
        <w:b/>
        <w:bCs/>
        <w:i w:val="0"/>
        <w:iCs w:val="0"/>
        <w:spacing w:val="0"/>
        <w:w w:val="100"/>
        <w:sz w:val="22"/>
        <w:szCs w:val="22"/>
        <w:shd w:fill="D9D9D9" w:color="auto" w:val="clear"/>
        <w:lang w:val="de-DE" w:eastAsia="en-US" w:bidi="ar-SA"/>
      </w:rPr>
    </w:lvl>
    <w:lvl w:ilvl="1">
      <w:start w:val="0"/>
      <w:numFmt w:val="bullet"/>
      <w:lvlText w:val="•"/>
      <w:lvlJc w:val="left"/>
      <w:pPr>
        <w:ind w:left="2628" w:hanging="162"/>
      </w:pPr>
      <w:rPr>
        <w:rFonts w:hint="default"/>
        <w:lang w:val="de-DE" w:eastAsia="en-US" w:bidi="ar-SA"/>
      </w:rPr>
    </w:lvl>
    <w:lvl w:ilvl="2">
      <w:start w:val="0"/>
      <w:numFmt w:val="bullet"/>
      <w:lvlText w:val="•"/>
      <w:lvlJc w:val="left"/>
      <w:pPr>
        <w:ind w:left="3656" w:hanging="162"/>
      </w:pPr>
      <w:rPr>
        <w:rFonts w:hint="default"/>
        <w:lang w:val="de-DE" w:eastAsia="en-US" w:bidi="ar-SA"/>
      </w:rPr>
    </w:lvl>
    <w:lvl w:ilvl="3">
      <w:start w:val="0"/>
      <w:numFmt w:val="bullet"/>
      <w:lvlText w:val="•"/>
      <w:lvlJc w:val="left"/>
      <w:pPr>
        <w:ind w:left="4684" w:hanging="162"/>
      </w:pPr>
      <w:rPr>
        <w:rFonts w:hint="default"/>
        <w:lang w:val="de-DE" w:eastAsia="en-US" w:bidi="ar-SA"/>
      </w:rPr>
    </w:lvl>
    <w:lvl w:ilvl="4">
      <w:start w:val="0"/>
      <w:numFmt w:val="bullet"/>
      <w:lvlText w:val="•"/>
      <w:lvlJc w:val="left"/>
      <w:pPr>
        <w:ind w:left="5712" w:hanging="162"/>
      </w:pPr>
      <w:rPr>
        <w:rFonts w:hint="default"/>
        <w:lang w:val="de-DE" w:eastAsia="en-US" w:bidi="ar-SA"/>
      </w:rPr>
    </w:lvl>
    <w:lvl w:ilvl="5">
      <w:start w:val="0"/>
      <w:numFmt w:val="bullet"/>
      <w:lvlText w:val="•"/>
      <w:lvlJc w:val="left"/>
      <w:pPr>
        <w:ind w:left="6740" w:hanging="162"/>
      </w:pPr>
      <w:rPr>
        <w:rFonts w:hint="default"/>
        <w:lang w:val="de-DE" w:eastAsia="en-US" w:bidi="ar-SA"/>
      </w:rPr>
    </w:lvl>
    <w:lvl w:ilvl="6">
      <w:start w:val="0"/>
      <w:numFmt w:val="bullet"/>
      <w:lvlText w:val="•"/>
      <w:lvlJc w:val="left"/>
      <w:pPr>
        <w:ind w:left="7768" w:hanging="162"/>
      </w:pPr>
      <w:rPr>
        <w:rFonts w:hint="default"/>
        <w:lang w:val="de-DE" w:eastAsia="en-US" w:bidi="ar-SA"/>
      </w:rPr>
    </w:lvl>
    <w:lvl w:ilvl="7">
      <w:start w:val="0"/>
      <w:numFmt w:val="bullet"/>
      <w:lvlText w:val="•"/>
      <w:lvlJc w:val="left"/>
      <w:pPr>
        <w:ind w:left="8796" w:hanging="162"/>
      </w:pPr>
      <w:rPr>
        <w:rFonts w:hint="default"/>
        <w:lang w:val="de-DE" w:eastAsia="en-US" w:bidi="ar-SA"/>
      </w:rPr>
    </w:lvl>
    <w:lvl w:ilvl="8">
      <w:start w:val="0"/>
      <w:numFmt w:val="bullet"/>
      <w:lvlText w:val="•"/>
      <w:lvlJc w:val="left"/>
      <w:pPr>
        <w:ind w:left="9824" w:hanging="162"/>
      </w:pPr>
      <w:rPr>
        <w:rFonts w:hint="default"/>
        <w:lang w:val="de-DE"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de-DE" w:eastAsia="en-US" w:bidi="ar-SA"/>
    </w:rPr>
  </w:style>
  <w:style w:styleId="BodyText" w:type="paragraph">
    <w:name w:val="Body Text"/>
    <w:basedOn w:val="Normal"/>
    <w:uiPriority w:val="1"/>
    <w:qFormat/>
    <w:pPr>
      <w:ind w:left="1440"/>
    </w:pPr>
    <w:rPr>
      <w:rFonts w:ascii="SimSun" w:hAnsi="SimSun" w:eastAsia="SimSun" w:cs="SimSun"/>
      <w:sz w:val="22"/>
      <w:szCs w:val="22"/>
      <w:lang w:val="de-DE" w:eastAsia="en-US" w:bidi="ar-SA"/>
    </w:rPr>
  </w:style>
  <w:style w:styleId="Heading1" w:type="paragraph">
    <w:name w:val="Heading 1"/>
    <w:basedOn w:val="Normal"/>
    <w:uiPriority w:val="1"/>
    <w:qFormat/>
    <w:pPr>
      <w:ind w:left="1601" w:hanging="161"/>
      <w:outlineLvl w:val="1"/>
    </w:pPr>
    <w:rPr>
      <w:rFonts w:ascii="Microsoft JhengHei" w:hAnsi="Microsoft JhengHei" w:eastAsia="Microsoft JhengHei" w:cs="Microsoft JhengHei"/>
      <w:b/>
      <w:bCs/>
      <w:sz w:val="22"/>
      <w:szCs w:val="22"/>
      <w:lang w:val="de-DE" w:eastAsia="en-US" w:bidi="ar-SA"/>
    </w:rPr>
  </w:style>
  <w:style w:styleId="Title" w:type="paragraph">
    <w:name w:val="Title"/>
    <w:basedOn w:val="Normal"/>
    <w:uiPriority w:val="1"/>
    <w:qFormat/>
    <w:pPr>
      <w:spacing w:line="416" w:lineRule="exact"/>
      <w:ind w:right="-15"/>
    </w:pPr>
    <w:rPr>
      <w:rFonts w:ascii="Microsoft JhengHei" w:hAnsi="Microsoft JhengHei" w:eastAsia="Microsoft JhengHei" w:cs="Microsoft JhengHei"/>
      <w:b/>
      <w:bCs/>
      <w:sz w:val="32"/>
      <w:szCs w:val="32"/>
      <w:lang w:val="de-DE" w:eastAsia="en-US" w:bidi="ar-SA"/>
    </w:rPr>
  </w:style>
  <w:style w:styleId="ListParagraph" w:type="paragraph">
    <w:name w:val="List Paragraph"/>
    <w:basedOn w:val="Normal"/>
    <w:uiPriority w:val="1"/>
    <w:qFormat/>
    <w:pPr>
      <w:spacing w:before="186"/>
      <w:ind w:left="1440"/>
    </w:pPr>
    <w:rPr>
      <w:rFonts w:ascii="SimSun" w:hAnsi="SimSun" w:eastAsia="SimSun" w:cs="SimSun"/>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dc:creator>
  <dc:description/>
  <dcterms:created xsi:type="dcterms:W3CDTF">2026-01-28T01:30:08Z</dcterms:created>
  <dcterms:modified xsi:type="dcterms:W3CDTF">2026-01-28T01:30:08Z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2026-01-06T00:00:00Z</vt:filetime>
  </property>
  <property fmtid="{D5CDD505-2E9C-101B-9397-08002B2CF9AE}" pid="3" name="Creator">
    <vt:lpwstr>Acrobat PDFMaker 21 Word 版</vt:lpwstr>
  </property>
  <property fmtid="{D5CDD505-2E9C-101B-9397-08002B2CF9AE}" pid="4" name="LastSaved">
    <vt:filetime>2026-01-28T00:00:00Z</vt:filetime>
  </property>
  <property fmtid="{D5CDD505-2E9C-101B-9397-08002B2CF9AE}" pid="5" name="Producer">
    <vt:lpwstr>Adobe PDF Library 21.5.80</vt:lpwstr>
  </property>
  <property fmtid="{D5CDD505-2E9C-101B-9397-08002B2CF9AE}" pid="6" name="SourceModified">
    <vt:lpwstr>D:20260106120200</vt:lpwstr>
  </property>
</Properties>
</file>